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0B9A" w14:textId="77777777" w:rsidR="007A1B46" w:rsidRPr="00D0322D" w:rsidRDefault="007A1B46" w:rsidP="007A1B46">
      <w:pPr>
        <w:rPr>
          <w:rFonts w:asciiTheme="minorHAnsi" w:eastAsiaTheme="minorEastAsia" w:hAnsiTheme="minorHAnsi"/>
          <w:noProof/>
          <w:sz w:val="22"/>
          <w:lang w:eastAsia="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778"/>
      </w:tblGrid>
      <w:tr w:rsidR="007A1B46" w:rsidRPr="00D0322D" w14:paraId="1B24D4C7" w14:textId="77777777" w:rsidTr="007A1B46">
        <w:tc>
          <w:tcPr>
            <w:tcW w:w="4253" w:type="dxa"/>
          </w:tcPr>
          <w:p w14:paraId="7CB1D8DA" w14:textId="77777777" w:rsidR="007A1B46" w:rsidRDefault="007A1B46" w:rsidP="00D61A5C"/>
        </w:tc>
        <w:tc>
          <w:tcPr>
            <w:tcW w:w="4881" w:type="dxa"/>
          </w:tcPr>
          <w:p w14:paraId="4DD90F17" w14:textId="77777777" w:rsidR="007A1B46" w:rsidRPr="00D0322D" w:rsidRDefault="007A1B46" w:rsidP="00D0322D">
            <w:pPr>
              <w:jc w:val="right"/>
              <w:rPr>
                <w:rFonts w:asciiTheme="minorHAnsi" w:hAnsiTheme="minorHAnsi"/>
                <w:sz w:val="22"/>
              </w:rPr>
            </w:pPr>
            <w:r w:rsidRPr="00D0322D">
              <w:rPr>
                <w:rFonts w:asciiTheme="minorHAnsi" w:eastAsiaTheme="minorEastAsia" w:hAnsiTheme="minorHAnsi"/>
                <w:noProof/>
                <w:sz w:val="22"/>
                <w:lang w:eastAsia="en-GB"/>
              </w:rPr>
              <w:t>NE&amp;Y GLH Central Laboratory Leeds</w:t>
            </w:r>
          </w:p>
        </w:tc>
      </w:tr>
      <w:tr w:rsidR="007A1B46" w:rsidRPr="00D0322D" w14:paraId="3754420D" w14:textId="77777777" w:rsidTr="007A1B46">
        <w:tc>
          <w:tcPr>
            <w:tcW w:w="4253" w:type="dxa"/>
          </w:tcPr>
          <w:p w14:paraId="6F038D96" w14:textId="77777777" w:rsidR="007A1B46" w:rsidRDefault="007A1B46" w:rsidP="00D61A5C"/>
        </w:tc>
        <w:tc>
          <w:tcPr>
            <w:tcW w:w="4881" w:type="dxa"/>
          </w:tcPr>
          <w:p w14:paraId="765BB5A4" w14:textId="77777777" w:rsidR="007A1B46" w:rsidRPr="00D0322D" w:rsidRDefault="007A1B46" w:rsidP="00D0322D">
            <w:pPr>
              <w:jc w:val="right"/>
              <w:rPr>
                <w:rFonts w:asciiTheme="minorHAnsi" w:hAnsiTheme="minorHAnsi"/>
                <w:sz w:val="22"/>
              </w:rPr>
            </w:pPr>
            <w:r w:rsidRPr="00D0322D">
              <w:rPr>
                <w:rFonts w:asciiTheme="minorHAnsi" w:hAnsiTheme="minorHAnsi"/>
                <w:sz w:val="22"/>
              </w:rPr>
              <w:t>Ashley Wing</w:t>
            </w:r>
          </w:p>
        </w:tc>
      </w:tr>
      <w:tr w:rsidR="007A1B46" w:rsidRPr="00D0322D" w14:paraId="43A73AB5" w14:textId="77777777" w:rsidTr="007A1B46">
        <w:tc>
          <w:tcPr>
            <w:tcW w:w="4253" w:type="dxa"/>
          </w:tcPr>
          <w:p w14:paraId="3676AEBC" w14:textId="77777777" w:rsidR="007A1B46" w:rsidRDefault="007A1B46" w:rsidP="00D61A5C"/>
        </w:tc>
        <w:tc>
          <w:tcPr>
            <w:tcW w:w="4881" w:type="dxa"/>
          </w:tcPr>
          <w:p w14:paraId="021A3D1D" w14:textId="77777777" w:rsidR="007A1B46" w:rsidRPr="00D0322D" w:rsidRDefault="007A1B46" w:rsidP="00D0322D">
            <w:pPr>
              <w:jc w:val="right"/>
              <w:rPr>
                <w:rFonts w:asciiTheme="minorHAnsi" w:hAnsiTheme="minorHAnsi"/>
                <w:sz w:val="22"/>
              </w:rPr>
            </w:pPr>
            <w:r w:rsidRPr="00D0322D">
              <w:rPr>
                <w:rFonts w:asciiTheme="minorHAnsi" w:hAnsiTheme="minorHAnsi"/>
                <w:sz w:val="22"/>
              </w:rPr>
              <w:t>St James Hospital</w:t>
            </w:r>
          </w:p>
        </w:tc>
      </w:tr>
      <w:tr w:rsidR="007A1B46" w:rsidRPr="00D0322D" w14:paraId="1D6EE45F" w14:textId="77777777" w:rsidTr="007A1B46">
        <w:tc>
          <w:tcPr>
            <w:tcW w:w="4253" w:type="dxa"/>
          </w:tcPr>
          <w:p w14:paraId="0183FBF0" w14:textId="77777777" w:rsidR="007A1B46" w:rsidRDefault="007A1B46" w:rsidP="00D61A5C"/>
        </w:tc>
        <w:tc>
          <w:tcPr>
            <w:tcW w:w="4881" w:type="dxa"/>
          </w:tcPr>
          <w:p w14:paraId="3F64E9EC" w14:textId="77777777" w:rsidR="007A1B46" w:rsidRPr="00D0322D" w:rsidRDefault="007A1B46" w:rsidP="00D0322D">
            <w:pPr>
              <w:jc w:val="right"/>
              <w:rPr>
                <w:rFonts w:asciiTheme="minorHAnsi" w:hAnsiTheme="minorHAnsi"/>
                <w:sz w:val="22"/>
              </w:rPr>
            </w:pPr>
            <w:r w:rsidRPr="00D0322D">
              <w:rPr>
                <w:rFonts w:asciiTheme="minorHAnsi" w:hAnsiTheme="minorHAnsi"/>
                <w:sz w:val="22"/>
              </w:rPr>
              <w:t>Leeds Teaching Hospitals Trust</w:t>
            </w:r>
          </w:p>
        </w:tc>
      </w:tr>
      <w:tr w:rsidR="007A1B46" w:rsidRPr="00D0322D" w14:paraId="75E940D4" w14:textId="77777777" w:rsidTr="007A1B46">
        <w:tc>
          <w:tcPr>
            <w:tcW w:w="4253" w:type="dxa"/>
          </w:tcPr>
          <w:p w14:paraId="423BC317" w14:textId="77777777" w:rsidR="007A1B46" w:rsidRDefault="007A1B46" w:rsidP="00D61A5C"/>
        </w:tc>
        <w:tc>
          <w:tcPr>
            <w:tcW w:w="4881" w:type="dxa"/>
          </w:tcPr>
          <w:p w14:paraId="09B81423" w14:textId="62294555" w:rsidR="007A1B46" w:rsidRPr="00D0322D" w:rsidRDefault="004A5139" w:rsidP="00D0322D">
            <w:pPr>
              <w:jc w:val="right"/>
              <w:rPr>
                <w:rFonts w:asciiTheme="minorHAnsi" w:hAnsiTheme="minorHAnsi"/>
                <w:sz w:val="22"/>
              </w:rPr>
            </w:pPr>
            <w:r>
              <w:rPr>
                <w:rFonts w:asciiTheme="minorHAnsi" w:hAnsiTheme="minorHAnsi"/>
                <w:sz w:val="22"/>
              </w:rPr>
              <w:t>November</w:t>
            </w:r>
            <w:r w:rsidR="00ED50EB">
              <w:rPr>
                <w:rFonts w:asciiTheme="minorHAnsi" w:hAnsiTheme="minorHAnsi"/>
                <w:sz w:val="22"/>
              </w:rPr>
              <w:t xml:space="preserve"> 2023</w:t>
            </w:r>
          </w:p>
        </w:tc>
      </w:tr>
    </w:tbl>
    <w:p w14:paraId="20C90F5A" w14:textId="77777777" w:rsidR="00D61A5C" w:rsidRPr="00D0322D" w:rsidRDefault="00D61A5C" w:rsidP="00494C7C">
      <w:pPr>
        <w:pStyle w:val="Default"/>
        <w:spacing w:after="120"/>
        <w:jc w:val="both"/>
        <w:rPr>
          <w:b/>
          <w:bCs/>
          <w:sz w:val="22"/>
          <w:szCs w:val="22"/>
        </w:rPr>
      </w:pPr>
      <w:r w:rsidRPr="00D0322D">
        <w:rPr>
          <w:b/>
          <w:bCs/>
          <w:sz w:val="22"/>
          <w:szCs w:val="22"/>
        </w:rPr>
        <w:t xml:space="preserve">Re: Delays to Genomic Laboratory testing services </w:t>
      </w:r>
    </w:p>
    <w:p w14:paraId="5C5EBA19" w14:textId="77777777" w:rsidR="00D61A5C" w:rsidRPr="00D0322D" w:rsidRDefault="00D61A5C" w:rsidP="00494C7C">
      <w:pPr>
        <w:pStyle w:val="Default"/>
        <w:spacing w:after="120"/>
        <w:jc w:val="both"/>
        <w:rPr>
          <w:sz w:val="22"/>
          <w:szCs w:val="22"/>
        </w:rPr>
      </w:pPr>
      <w:r w:rsidRPr="00D0322D">
        <w:rPr>
          <w:sz w:val="22"/>
          <w:szCs w:val="22"/>
        </w:rPr>
        <w:t xml:space="preserve">Dear Genomic Laboratory Users, </w:t>
      </w:r>
    </w:p>
    <w:p w14:paraId="39163915" w14:textId="15FD84B7" w:rsidR="00D61A5C" w:rsidRPr="00D0322D" w:rsidRDefault="00D61A5C" w:rsidP="00494C7C">
      <w:pPr>
        <w:pStyle w:val="Default"/>
        <w:spacing w:after="120"/>
        <w:jc w:val="both"/>
        <w:rPr>
          <w:sz w:val="22"/>
          <w:szCs w:val="22"/>
        </w:rPr>
      </w:pPr>
      <w:r w:rsidRPr="00D0322D">
        <w:rPr>
          <w:sz w:val="22"/>
          <w:szCs w:val="22"/>
        </w:rPr>
        <w:t xml:space="preserve">I am writing to advise </w:t>
      </w:r>
      <w:r w:rsidR="00E32805" w:rsidRPr="00D0322D">
        <w:rPr>
          <w:sz w:val="22"/>
          <w:szCs w:val="22"/>
        </w:rPr>
        <w:t xml:space="preserve">you of </w:t>
      </w:r>
      <w:r w:rsidR="006D1D8D" w:rsidRPr="00D0322D">
        <w:rPr>
          <w:sz w:val="22"/>
          <w:szCs w:val="22"/>
        </w:rPr>
        <w:t xml:space="preserve">ongoing </w:t>
      </w:r>
      <w:r w:rsidR="00E32805" w:rsidRPr="00D0322D">
        <w:rPr>
          <w:sz w:val="22"/>
          <w:szCs w:val="22"/>
        </w:rPr>
        <w:t xml:space="preserve">delays to the Genomic Laboratory testing service. These delays are </w:t>
      </w:r>
      <w:r w:rsidRPr="00D0322D">
        <w:rPr>
          <w:sz w:val="22"/>
          <w:szCs w:val="22"/>
        </w:rPr>
        <w:t>for a combination of reasons centred around significant national and local reconfiguration of genomic services and challenges with staffing levels</w:t>
      </w:r>
      <w:r w:rsidR="00E32805" w:rsidRPr="00D0322D">
        <w:rPr>
          <w:sz w:val="22"/>
          <w:szCs w:val="22"/>
        </w:rPr>
        <w:t xml:space="preserve">. This means that </w:t>
      </w:r>
      <w:r w:rsidRPr="00D0322D">
        <w:rPr>
          <w:sz w:val="22"/>
          <w:szCs w:val="22"/>
        </w:rPr>
        <w:t xml:space="preserve">many of our current services are not being reported to the turnaround time guidelines that you may normally expect. </w:t>
      </w:r>
      <w:r w:rsidR="00797260">
        <w:rPr>
          <w:sz w:val="22"/>
          <w:szCs w:val="22"/>
        </w:rPr>
        <w:t xml:space="preserve">We </w:t>
      </w:r>
      <w:r w:rsidR="004C3238">
        <w:rPr>
          <w:sz w:val="22"/>
          <w:szCs w:val="22"/>
        </w:rPr>
        <w:t>apologise</w:t>
      </w:r>
      <w:r w:rsidR="00797260">
        <w:rPr>
          <w:sz w:val="22"/>
          <w:szCs w:val="22"/>
        </w:rPr>
        <w:t xml:space="preserve"> for these delays and </w:t>
      </w:r>
      <w:r w:rsidR="006E7C15">
        <w:rPr>
          <w:sz w:val="22"/>
          <w:szCs w:val="22"/>
        </w:rPr>
        <w:t>any</w:t>
      </w:r>
      <w:r w:rsidR="00797260">
        <w:rPr>
          <w:sz w:val="22"/>
          <w:szCs w:val="22"/>
        </w:rPr>
        <w:t xml:space="preserve"> impact the</w:t>
      </w:r>
      <w:r w:rsidR="004C3238">
        <w:rPr>
          <w:sz w:val="22"/>
          <w:szCs w:val="22"/>
        </w:rPr>
        <w:t>y</w:t>
      </w:r>
      <w:r w:rsidR="00797260">
        <w:rPr>
          <w:sz w:val="22"/>
          <w:szCs w:val="22"/>
        </w:rPr>
        <w:t xml:space="preserve"> may have on patients and services, and we are actively working to address these issues. </w:t>
      </w:r>
    </w:p>
    <w:p w14:paraId="2498B8F7" w14:textId="4D03FB2E" w:rsidR="00D61A5C" w:rsidRPr="00D0322D" w:rsidRDefault="00D61A5C" w:rsidP="00494C7C">
      <w:pPr>
        <w:pStyle w:val="Default"/>
        <w:spacing w:after="120"/>
        <w:jc w:val="both"/>
        <w:rPr>
          <w:sz w:val="22"/>
          <w:szCs w:val="22"/>
        </w:rPr>
      </w:pPr>
      <w:r w:rsidRPr="00D0322D">
        <w:rPr>
          <w:sz w:val="22"/>
          <w:szCs w:val="22"/>
        </w:rPr>
        <w:t xml:space="preserve">This is affecting services at each of our Genomic Laboratories in the </w:t>
      </w:r>
      <w:r w:rsidR="00E32805" w:rsidRPr="00D0322D">
        <w:rPr>
          <w:sz w:val="22"/>
          <w:szCs w:val="22"/>
        </w:rPr>
        <w:t xml:space="preserve">North East and Yorkshire Genomic Laboratory Hub (NE&amp;Y GLH) </w:t>
      </w:r>
      <w:r w:rsidRPr="00D0322D">
        <w:rPr>
          <w:sz w:val="22"/>
          <w:szCs w:val="22"/>
        </w:rPr>
        <w:t>but particularly in the Leeds Central Genomics Laboratory</w:t>
      </w:r>
      <w:r w:rsidR="00494C7C" w:rsidRPr="00D0322D">
        <w:rPr>
          <w:sz w:val="22"/>
          <w:szCs w:val="22"/>
        </w:rPr>
        <w:t xml:space="preserve"> at this time</w:t>
      </w:r>
      <w:r w:rsidRPr="00D0322D">
        <w:rPr>
          <w:sz w:val="22"/>
          <w:szCs w:val="22"/>
        </w:rPr>
        <w:t xml:space="preserve">. We continue to work together as the NE&amp;Y GLH to manage recovery plans across the wider </w:t>
      </w:r>
      <w:r w:rsidR="006D1D8D" w:rsidRPr="00D0322D">
        <w:rPr>
          <w:sz w:val="22"/>
          <w:szCs w:val="22"/>
        </w:rPr>
        <w:t>region</w:t>
      </w:r>
      <w:r w:rsidRPr="00D0322D">
        <w:rPr>
          <w:sz w:val="22"/>
          <w:szCs w:val="22"/>
        </w:rPr>
        <w:t xml:space="preserve"> to rectify this and improve performance</w:t>
      </w:r>
      <w:r w:rsidR="006D1D8D" w:rsidRPr="00D0322D">
        <w:rPr>
          <w:sz w:val="22"/>
          <w:szCs w:val="22"/>
        </w:rPr>
        <w:t>. We have made some significant improvements in specific areas of the service over the last 12 months and continue to take a granular approach to focusing our resources to optimise recovery and manage risk in service. H</w:t>
      </w:r>
      <w:r w:rsidRPr="00D0322D">
        <w:rPr>
          <w:sz w:val="22"/>
          <w:szCs w:val="22"/>
        </w:rPr>
        <w:t>owever</w:t>
      </w:r>
      <w:r w:rsidR="00ED50EB">
        <w:rPr>
          <w:sz w:val="22"/>
          <w:szCs w:val="22"/>
        </w:rPr>
        <w:t>,</w:t>
      </w:r>
      <w:r w:rsidRPr="00D0322D">
        <w:rPr>
          <w:sz w:val="22"/>
          <w:szCs w:val="22"/>
        </w:rPr>
        <w:t xml:space="preserve"> it will </w:t>
      </w:r>
      <w:r w:rsidR="006D1D8D" w:rsidRPr="00D0322D">
        <w:rPr>
          <w:sz w:val="22"/>
          <w:szCs w:val="22"/>
        </w:rPr>
        <w:t xml:space="preserve">still </w:t>
      </w:r>
      <w:r w:rsidRPr="00D0322D">
        <w:rPr>
          <w:sz w:val="22"/>
          <w:szCs w:val="22"/>
        </w:rPr>
        <w:t xml:space="preserve">take several months before a significant improvement is apparent for some services. </w:t>
      </w:r>
    </w:p>
    <w:p w14:paraId="11FCA982" w14:textId="77777777" w:rsidR="00D61A5C" w:rsidRPr="00D0322D" w:rsidRDefault="00D61A5C" w:rsidP="00494C7C">
      <w:pPr>
        <w:pStyle w:val="Default"/>
        <w:spacing w:after="120"/>
        <w:jc w:val="both"/>
        <w:rPr>
          <w:sz w:val="22"/>
          <w:szCs w:val="22"/>
        </w:rPr>
      </w:pPr>
      <w:r w:rsidRPr="00D0322D">
        <w:rPr>
          <w:sz w:val="22"/>
          <w:szCs w:val="22"/>
        </w:rPr>
        <w:t xml:space="preserve">Please be assured that we will prioritise the most urgent clinical work which includes: </w:t>
      </w:r>
    </w:p>
    <w:p w14:paraId="24FFA889" w14:textId="77777777" w:rsidR="00D61A5C" w:rsidRPr="00D0322D" w:rsidRDefault="00D61A5C" w:rsidP="00494C7C">
      <w:pPr>
        <w:pStyle w:val="Default"/>
        <w:numPr>
          <w:ilvl w:val="0"/>
          <w:numId w:val="1"/>
        </w:numPr>
        <w:spacing w:after="120"/>
        <w:jc w:val="both"/>
        <w:rPr>
          <w:sz w:val="22"/>
          <w:szCs w:val="22"/>
        </w:rPr>
      </w:pPr>
      <w:r w:rsidRPr="00D0322D">
        <w:rPr>
          <w:sz w:val="22"/>
          <w:szCs w:val="22"/>
        </w:rPr>
        <w:t xml:space="preserve">pregnant women undergoing prenatal diagnosis; </w:t>
      </w:r>
    </w:p>
    <w:p w14:paraId="7EF14E1B" w14:textId="3A4F4304" w:rsidR="00D61A5C" w:rsidRPr="00D0322D" w:rsidRDefault="00D61A5C" w:rsidP="00494C7C">
      <w:pPr>
        <w:pStyle w:val="Default"/>
        <w:numPr>
          <w:ilvl w:val="0"/>
          <w:numId w:val="1"/>
        </w:numPr>
        <w:spacing w:after="120"/>
        <w:jc w:val="both"/>
        <w:rPr>
          <w:sz w:val="22"/>
          <w:szCs w:val="22"/>
        </w:rPr>
      </w:pPr>
      <w:r w:rsidRPr="00D0322D">
        <w:rPr>
          <w:sz w:val="22"/>
          <w:szCs w:val="22"/>
        </w:rPr>
        <w:t>patients needing urgent advice on carrier testing relating to pregnancy</w:t>
      </w:r>
      <w:r w:rsidR="00E32805" w:rsidRPr="00D0322D">
        <w:rPr>
          <w:sz w:val="22"/>
          <w:szCs w:val="22"/>
        </w:rPr>
        <w:t xml:space="preserve">, for </w:t>
      </w:r>
      <w:r w:rsidRPr="00D0322D">
        <w:rPr>
          <w:sz w:val="22"/>
          <w:szCs w:val="22"/>
        </w:rPr>
        <w:t>example</w:t>
      </w:r>
      <w:r w:rsidR="00E32805" w:rsidRPr="00D0322D">
        <w:rPr>
          <w:sz w:val="22"/>
          <w:szCs w:val="22"/>
        </w:rPr>
        <w:t xml:space="preserve"> </w:t>
      </w:r>
      <w:r w:rsidRPr="00D0322D">
        <w:rPr>
          <w:sz w:val="22"/>
          <w:szCs w:val="22"/>
        </w:rPr>
        <w:t xml:space="preserve">cystic fibrosis, thalassaemia; </w:t>
      </w:r>
    </w:p>
    <w:p w14:paraId="0A4E66CF" w14:textId="54F9B472" w:rsidR="00D61A5C" w:rsidRPr="00D0322D" w:rsidRDefault="00797260" w:rsidP="00494C7C">
      <w:pPr>
        <w:pStyle w:val="Default"/>
        <w:numPr>
          <w:ilvl w:val="0"/>
          <w:numId w:val="1"/>
        </w:numPr>
        <w:spacing w:after="120"/>
        <w:jc w:val="both"/>
        <w:rPr>
          <w:sz w:val="22"/>
          <w:szCs w:val="22"/>
        </w:rPr>
      </w:pPr>
      <w:r>
        <w:rPr>
          <w:sz w:val="22"/>
          <w:szCs w:val="22"/>
        </w:rPr>
        <w:t xml:space="preserve">rapid genomic testing pathways, including </w:t>
      </w:r>
      <w:r w:rsidR="004C3238">
        <w:rPr>
          <w:sz w:val="22"/>
          <w:szCs w:val="22"/>
        </w:rPr>
        <w:t>those for</w:t>
      </w:r>
      <w:r>
        <w:rPr>
          <w:sz w:val="22"/>
          <w:szCs w:val="22"/>
        </w:rPr>
        <w:t xml:space="preserve"> </w:t>
      </w:r>
      <w:proofErr w:type="spellStart"/>
      <w:r>
        <w:rPr>
          <w:sz w:val="22"/>
          <w:szCs w:val="22"/>
        </w:rPr>
        <w:t>fetal</w:t>
      </w:r>
      <w:proofErr w:type="spellEnd"/>
      <w:r>
        <w:rPr>
          <w:sz w:val="22"/>
          <w:szCs w:val="22"/>
        </w:rPr>
        <w:t xml:space="preserve"> anomalies in ongoing pregnancies ,</w:t>
      </w:r>
      <w:r w:rsidR="00D61A5C" w:rsidRPr="00D0322D">
        <w:rPr>
          <w:sz w:val="22"/>
          <w:szCs w:val="22"/>
        </w:rPr>
        <w:t xml:space="preserve"> critically ill neonates and children</w:t>
      </w:r>
      <w:r>
        <w:rPr>
          <w:sz w:val="22"/>
          <w:szCs w:val="22"/>
        </w:rPr>
        <w:t>,</w:t>
      </w:r>
      <w:r w:rsidR="00D61A5C" w:rsidRPr="00D0322D">
        <w:rPr>
          <w:sz w:val="22"/>
          <w:szCs w:val="22"/>
        </w:rPr>
        <w:t xml:space="preserve"> </w:t>
      </w:r>
      <w:r>
        <w:rPr>
          <w:sz w:val="22"/>
          <w:szCs w:val="22"/>
        </w:rPr>
        <w:t>including</w:t>
      </w:r>
      <w:r w:rsidR="00D61A5C" w:rsidRPr="00D0322D">
        <w:rPr>
          <w:sz w:val="22"/>
          <w:szCs w:val="22"/>
        </w:rPr>
        <w:t xml:space="preserve"> those for whom rapid </w:t>
      </w:r>
      <w:r>
        <w:rPr>
          <w:sz w:val="22"/>
          <w:szCs w:val="22"/>
        </w:rPr>
        <w:t>W</w:t>
      </w:r>
      <w:r w:rsidR="004C3238">
        <w:rPr>
          <w:sz w:val="22"/>
          <w:szCs w:val="22"/>
        </w:rPr>
        <w:t xml:space="preserve">hole </w:t>
      </w:r>
      <w:r>
        <w:rPr>
          <w:sz w:val="22"/>
          <w:szCs w:val="22"/>
        </w:rPr>
        <w:t>G</w:t>
      </w:r>
      <w:r w:rsidR="004C3238">
        <w:rPr>
          <w:sz w:val="22"/>
          <w:szCs w:val="22"/>
        </w:rPr>
        <w:t xml:space="preserve">enome </w:t>
      </w:r>
      <w:r>
        <w:rPr>
          <w:sz w:val="22"/>
          <w:szCs w:val="22"/>
        </w:rPr>
        <w:t>S</w:t>
      </w:r>
      <w:r w:rsidR="004C3238">
        <w:rPr>
          <w:sz w:val="22"/>
          <w:szCs w:val="22"/>
        </w:rPr>
        <w:t>equencing</w:t>
      </w:r>
      <w:r>
        <w:rPr>
          <w:sz w:val="22"/>
          <w:szCs w:val="22"/>
        </w:rPr>
        <w:t xml:space="preserve"> via the R14 service</w:t>
      </w:r>
      <w:r w:rsidRPr="00D0322D">
        <w:rPr>
          <w:sz w:val="22"/>
          <w:szCs w:val="22"/>
        </w:rPr>
        <w:t xml:space="preserve"> </w:t>
      </w:r>
      <w:r w:rsidR="00D61A5C" w:rsidRPr="00D0322D">
        <w:rPr>
          <w:sz w:val="22"/>
          <w:szCs w:val="22"/>
        </w:rPr>
        <w:t xml:space="preserve">is appropriate; </w:t>
      </w:r>
    </w:p>
    <w:p w14:paraId="7CCAD68E" w14:textId="77777777" w:rsidR="00D61A5C" w:rsidRPr="00D0322D" w:rsidRDefault="00D61A5C" w:rsidP="00494C7C">
      <w:pPr>
        <w:pStyle w:val="Default"/>
        <w:numPr>
          <w:ilvl w:val="0"/>
          <w:numId w:val="1"/>
        </w:numPr>
        <w:spacing w:after="120"/>
        <w:jc w:val="both"/>
        <w:rPr>
          <w:sz w:val="22"/>
          <w:szCs w:val="22"/>
        </w:rPr>
      </w:pPr>
      <w:r w:rsidRPr="00D0322D">
        <w:rPr>
          <w:sz w:val="22"/>
          <w:szCs w:val="22"/>
        </w:rPr>
        <w:t xml:space="preserve">conditions where rapid genetic testing may alter clinical treatment or decision making; and </w:t>
      </w:r>
    </w:p>
    <w:p w14:paraId="741AF4AC" w14:textId="6A64348F" w:rsidR="00494C7C" w:rsidRPr="0028153A" w:rsidRDefault="00D61A5C" w:rsidP="0028153A">
      <w:pPr>
        <w:pStyle w:val="Default"/>
        <w:numPr>
          <w:ilvl w:val="0"/>
          <w:numId w:val="1"/>
        </w:numPr>
        <w:spacing w:after="120"/>
        <w:jc w:val="both"/>
        <w:rPr>
          <w:sz w:val="22"/>
          <w:szCs w:val="22"/>
        </w:rPr>
      </w:pPr>
      <w:r w:rsidRPr="00D0322D">
        <w:rPr>
          <w:sz w:val="22"/>
          <w:szCs w:val="22"/>
        </w:rPr>
        <w:t xml:space="preserve">patients requiring urgent testing, for example BRCA testing, to inform chemotherapy options. </w:t>
      </w:r>
    </w:p>
    <w:p w14:paraId="49296FB5" w14:textId="2DC88951" w:rsidR="00494C7C" w:rsidRPr="00D0322D" w:rsidRDefault="00494C7C" w:rsidP="00494C7C">
      <w:pPr>
        <w:pStyle w:val="Default"/>
        <w:spacing w:after="120"/>
        <w:jc w:val="both"/>
        <w:rPr>
          <w:sz w:val="22"/>
          <w:szCs w:val="22"/>
        </w:rPr>
      </w:pPr>
      <w:r w:rsidRPr="00D0322D">
        <w:rPr>
          <w:sz w:val="22"/>
          <w:szCs w:val="22"/>
        </w:rPr>
        <w:t xml:space="preserve">We </w:t>
      </w:r>
      <w:r w:rsidR="007A1B46" w:rsidRPr="00D0322D">
        <w:rPr>
          <w:sz w:val="22"/>
          <w:szCs w:val="22"/>
        </w:rPr>
        <w:t>have provided</w:t>
      </w:r>
      <w:r w:rsidRPr="00D0322D">
        <w:rPr>
          <w:sz w:val="22"/>
          <w:szCs w:val="22"/>
        </w:rPr>
        <w:t xml:space="preserve"> a set of indicative turn-around times </w:t>
      </w:r>
      <w:r w:rsidR="006D1D8D" w:rsidRPr="00D0322D">
        <w:rPr>
          <w:sz w:val="22"/>
          <w:szCs w:val="22"/>
        </w:rPr>
        <w:t xml:space="preserve">below </w:t>
      </w:r>
      <w:r w:rsidRPr="00D0322D">
        <w:rPr>
          <w:sz w:val="22"/>
          <w:szCs w:val="22"/>
        </w:rPr>
        <w:t>to help manage service expectations as we balance the capacity and build recovery. We will update these on a quarterly basis</w:t>
      </w:r>
      <w:r w:rsidR="00BA47DC">
        <w:rPr>
          <w:sz w:val="22"/>
          <w:szCs w:val="22"/>
        </w:rPr>
        <w:t xml:space="preserve"> which should indicate the service improvement being achieved</w:t>
      </w:r>
      <w:r w:rsidRPr="00D0322D">
        <w:rPr>
          <w:sz w:val="22"/>
          <w:szCs w:val="22"/>
        </w:rPr>
        <w:t>:</w:t>
      </w:r>
    </w:p>
    <w:p w14:paraId="07EBA268" w14:textId="2B23E696" w:rsidR="00494C7C" w:rsidRDefault="00D555A3" w:rsidP="00D0322D">
      <w:pPr>
        <w:pStyle w:val="Default"/>
        <w:spacing w:after="120"/>
        <w:jc w:val="center"/>
      </w:pPr>
      <w:r w:rsidRPr="00D555A3">
        <w:rPr>
          <w:noProof/>
        </w:rPr>
        <w:lastRenderedPageBreak/>
        <w:drawing>
          <wp:inline distT="0" distB="0" distL="0" distR="0" wp14:anchorId="0D952253" wp14:editId="3273458F">
            <wp:extent cx="3633863" cy="307340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2260" cy="3080502"/>
                    </a:xfrm>
                    <a:prstGeom prst="rect">
                      <a:avLst/>
                    </a:prstGeom>
                    <a:noFill/>
                    <a:ln>
                      <a:noFill/>
                    </a:ln>
                  </pic:spPr>
                </pic:pic>
              </a:graphicData>
            </a:graphic>
          </wp:inline>
        </w:drawing>
      </w:r>
    </w:p>
    <w:p w14:paraId="741A4E04" w14:textId="642F940B" w:rsidR="006D1D8D" w:rsidRPr="00D0322D" w:rsidRDefault="006D1D8D" w:rsidP="00494C7C">
      <w:pPr>
        <w:pStyle w:val="Default"/>
        <w:spacing w:after="120"/>
        <w:jc w:val="both"/>
        <w:rPr>
          <w:sz w:val="22"/>
          <w:szCs w:val="22"/>
        </w:rPr>
      </w:pPr>
      <w:r w:rsidRPr="00D0322D">
        <w:rPr>
          <w:sz w:val="22"/>
          <w:szCs w:val="22"/>
        </w:rPr>
        <w:t>In order to help the laboratory team to manage resources:</w:t>
      </w:r>
    </w:p>
    <w:p w14:paraId="215404FA" w14:textId="25447DA4" w:rsidR="006D1D8D" w:rsidRPr="00D0322D" w:rsidRDefault="006D1D8D" w:rsidP="009101B2">
      <w:pPr>
        <w:pStyle w:val="Default"/>
        <w:numPr>
          <w:ilvl w:val="0"/>
          <w:numId w:val="2"/>
        </w:numPr>
        <w:spacing w:after="120"/>
        <w:jc w:val="both"/>
        <w:rPr>
          <w:sz w:val="22"/>
          <w:szCs w:val="22"/>
        </w:rPr>
      </w:pPr>
      <w:r w:rsidRPr="00D0322D">
        <w:rPr>
          <w:sz w:val="22"/>
          <w:szCs w:val="22"/>
        </w:rPr>
        <w:t>Please ensure all referral and reporting information is completed on the referral forms and ensure you are requesting the right test (with correct code as per the National Genomic Test Directory). If details are absent</w:t>
      </w:r>
      <w:r w:rsidR="009101B2" w:rsidRPr="00D0322D">
        <w:rPr>
          <w:sz w:val="22"/>
          <w:szCs w:val="22"/>
        </w:rPr>
        <w:t>,</w:t>
      </w:r>
      <w:r w:rsidRPr="00D0322D">
        <w:rPr>
          <w:sz w:val="22"/>
          <w:szCs w:val="22"/>
        </w:rPr>
        <w:t xml:space="preserve"> it takes our scientific team time to check and testing will be delayed.</w:t>
      </w:r>
      <w:r w:rsidR="009101B2" w:rsidRPr="00D0322D">
        <w:rPr>
          <w:sz w:val="22"/>
          <w:szCs w:val="22"/>
        </w:rPr>
        <w:t xml:space="preserve"> If you are uncertain whether a genetic test is suitable, please do not hesitate to contact the laboratory before sending a sample.</w:t>
      </w:r>
    </w:p>
    <w:p w14:paraId="75C23683" w14:textId="515BE243" w:rsidR="00494C7C" w:rsidRPr="00D0322D" w:rsidRDefault="006D1D8D" w:rsidP="009101B2">
      <w:pPr>
        <w:pStyle w:val="Default"/>
        <w:numPr>
          <w:ilvl w:val="0"/>
          <w:numId w:val="2"/>
        </w:numPr>
        <w:spacing w:after="120"/>
        <w:jc w:val="both"/>
        <w:rPr>
          <w:sz w:val="22"/>
          <w:szCs w:val="22"/>
        </w:rPr>
      </w:pPr>
      <w:r w:rsidRPr="00D0322D">
        <w:rPr>
          <w:sz w:val="22"/>
          <w:szCs w:val="22"/>
        </w:rPr>
        <w:t xml:space="preserve">Please only contact the laboratory if absolutely essential. We are always </w:t>
      </w:r>
      <w:r w:rsidR="00797260">
        <w:rPr>
          <w:sz w:val="22"/>
          <w:szCs w:val="22"/>
        </w:rPr>
        <w:t>happy</w:t>
      </w:r>
      <w:r w:rsidR="00797260" w:rsidRPr="00D0322D">
        <w:rPr>
          <w:sz w:val="22"/>
          <w:szCs w:val="22"/>
        </w:rPr>
        <w:t xml:space="preserve"> </w:t>
      </w:r>
      <w:r w:rsidRPr="00D0322D">
        <w:rPr>
          <w:sz w:val="22"/>
          <w:szCs w:val="22"/>
        </w:rPr>
        <w:t>to help, but</w:t>
      </w:r>
      <w:r w:rsidR="00ED50EB">
        <w:rPr>
          <w:sz w:val="22"/>
          <w:szCs w:val="22"/>
        </w:rPr>
        <w:t xml:space="preserve"> non-essential contacts</w:t>
      </w:r>
      <w:r w:rsidRPr="00D0322D">
        <w:rPr>
          <w:sz w:val="22"/>
          <w:szCs w:val="22"/>
        </w:rPr>
        <w:t xml:space="preserve"> take our </w:t>
      </w:r>
      <w:r w:rsidR="00ED50EB">
        <w:rPr>
          <w:sz w:val="22"/>
          <w:szCs w:val="22"/>
        </w:rPr>
        <w:t>technical/</w:t>
      </w:r>
      <w:r w:rsidRPr="00D0322D">
        <w:rPr>
          <w:sz w:val="22"/>
          <w:szCs w:val="22"/>
        </w:rPr>
        <w:t>scientific team away from reporting.</w:t>
      </w:r>
      <w:r w:rsidR="009101B2" w:rsidRPr="00D0322D">
        <w:rPr>
          <w:sz w:val="22"/>
          <w:szCs w:val="22"/>
        </w:rPr>
        <w:t xml:space="preserve"> </w:t>
      </w:r>
    </w:p>
    <w:p w14:paraId="36B22B6A" w14:textId="23119E72" w:rsidR="00494C7C" w:rsidRPr="00D0322D" w:rsidRDefault="006D1D8D" w:rsidP="00494C7C">
      <w:pPr>
        <w:pStyle w:val="Default"/>
        <w:numPr>
          <w:ilvl w:val="0"/>
          <w:numId w:val="2"/>
        </w:numPr>
        <w:spacing w:after="120"/>
        <w:jc w:val="both"/>
        <w:rPr>
          <w:sz w:val="22"/>
          <w:szCs w:val="22"/>
        </w:rPr>
      </w:pPr>
      <w:r w:rsidRPr="00D0322D">
        <w:rPr>
          <w:sz w:val="22"/>
          <w:szCs w:val="22"/>
        </w:rPr>
        <w:t xml:space="preserve">Whilst we will triage cases based on clinical urgency as noted above and then the oldest cases </w:t>
      </w:r>
      <w:r w:rsidR="007D34D0" w:rsidRPr="00D0322D">
        <w:rPr>
          <w:sz w:val="22"/>
          <w:szCs w:val="22"/>
        </w:rPr>
        <w:t>in order</w:t>
      </w:r>
      <w:r w:rsidR="009101B2" w:rsidRPr="00D0322D">
        <w:rPr>
          <w:sz w:val="22"/>
          <w:szCs w:val="22"/>
        </w:rPr>
        <w:t>,</w:t>
      </w:r>
      <w:r w:rsidR="00BA47DC">
        <w:rPr>
          <w:sz w:val="22"/>
          <w:szCs w:val="22"/>
        </w:rPr>
        <w:t xml:space="preserve"> </w:t>
      </w:r>
      <w:r w:rsidR="007D34D0" w:rsidRPr="00D0322D">
        <w:rPr>
          <w:sz w:val="22"/>
          <w:szCs w:val="22"/>
        </w:rPr>
        <w:t>you should contact the laboratory if your case becomes more clinically urgent and the genomic report will affect treatment outcomes.</w:t>
      </w:r>
      <w:r w:rsidR="00797260">
        <w:rPr>
          <w:sz w:val="22"/>
          <w:szCs w:val="22"/>
        </w:rPr>
        <w:t xml:space="preserve"> Examples of these </w:t>
      </w:r>
      <w:r w:rsidR="004C3238">
        <w:rPr>
          <w:sz w:val="22"/>
          <w:szCs w:val="22"/>
        </w:rPr>
        <w:t xml:space="preserve">urgent situations include when there is an ongoing pregnancy in the family and a result would alter management; a child is very unwell and admitted to hospital; or other situations when a result is needed to inform urgent clinical management decisions. </w:t>
      </w:r>
      <w:r w:rsidR="00DA3072">
        <w:rPr>
          <w:sz w:val="22"/>
          <w:szCs w:val="22"/>
        </w:rPr>
        <w:t>R</w:t>
      </w:r>
      <w:r w:rsidR="004C3238">
        <w:rPr>
          <w:sz w:val="22"/>
          <w:szCs w:val="22"/>
        </w:rPr>
        <w:t xml:space="preserve">equests </w:t>
      </w:r>
      <w:r w:rsidR="00DA3072">
        <w:rPr>
          <w:sz w:val="22"/>
          <w:szCs w:val="22"/>
        </w:rPr>
        <w:t xml:space="preserve">for urgent WGS testing </w:t>
      </w:r>
      <w:r w:rsidR="004C3238">
        <w:rPr>
          <w:sz w:val="22"/>
          <w:szCs w:val="22"/>
        </w:rPr>
        <w:t>will be discussed with the Clinical Genetics team on a case-by-case basis.</w:t>
      </w:r>
      <w:r w:rsidR="009101B2" w:rsidRPr="00D0322D">
        <w:rPr>
          <w:sz w:val="22"/>
          <w:szCs w:val="22"/>
        </w:rPr>
        <w:t xml:space="preserve"> </w:t>
      </w:r>
    </w:p>
    <w:p w14:paraId="5ED24C01" w14:textId="3BFBF63F" w:rsidR="007A1B46" w:rsidRPr="00D0322D" w:rsidRDefault="00D61A5C" w:rsidP="00494C7C">
      <w:pPr>
        <w:pStyle w:val="Default"/>
        <w:spacing w:after="120"/>
        <w:jc w:val="both"/>
        <w:rPr>
          <w:sz w:val="22"/>
          <w:szCs w:val="22"/>
        </w:rPr>
      </w:pPr>
      <w:r w:rsidRPr="00D0322D">
        <w:rPr>
          <w:sz w:val="22"/>
          <w:szCs w:val="22"/>
        </w:rPr>
        <w:t xml:space="preserve">We wish to thank you for your </w:t>
      </w:r>
      <w:r w:rsidR="007A1B46" w:rsidRPr="00D0322D">
        <w:rPr>
          <w:sz w:val="22"/>
          <w:szCs w:val="22"/>
        </w:rPr>
        <w:t>understanding</w:t>
      </w:r>
      <w:r w:rsidR="00ED50EB">
        <w:rPr>
          <w:sz w:val="22"/>
          <w:szCs w:val="22"/>
        </w:rPr>
        <w:t>, patience</w:t>
      </w:r>
      <w:r w:rsidR="007A1B46" w:rsidRPr="00D0322D">
        <w:rPr>
          <w:sz w:val="22"/>
          <w:szCs w:val="22"/>
        </w:rPr>
        <w:t xml:space="preserve"> and </w:t>
      </w:r>
      <w:r w:rsidRPr="00D0322D">
        <w:rPr>
          <w:sz w:val="22"/>
          <w:szCs w:val="22"/>
        </w:rPr>
        <w:t xml:space="preserve">cooperation. </w:t>
      </w:r>
    </w:p>
    <w:p w14:paraId="4879EC5F" w14:textId="6FEC3455" w:rsidR="00494C7C" w:rsidRPr="00D0322D" w:rsidRDefault="00D61A5C" w:rsidP="00494C7C">
      <w:pPr>
        <w:pStyle w:val="Default"/>
        <w:spacing w:after="120"/>
        <w:jc w:val="both"/>
        <w:rPr>
          <w:sz w:val="22"/>
          <w:szCs w:val="22"/>
        </w:rPr>
      </w:pPr>
      <w:r w:rsidRPr="00D0322D">
        <w:rPr>
          <w:sz w:val="22"/>
          <w:szCs w:val="22"/>
        </w:rPr>
        <w:t xml:space="preserve">Yours </w:t>
      </w:r>
      <w:r w:rsidR="00494C7C" w:rsidRPr="00D0322D">
        <w:rPr>
          <w:sz w:val="22"/>
          <w:szCs w:val="22"/>
        </w:rPr>
        <w:t>Sincerely</w:t>
      </w:r>
      <w:r w:rsidRPr="00D0322D">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497"/>
      </w:tblGrid>
      <w:tr w:rsidR="009101B2" w:rsidRPr="00D0322D" w14:paraId="51A2F199" w14:textId="77777777" w:rsidTr="008F3B32">
        <w:tc>
          <w:tcPr>
            <w:tcW w:w="4621" w:type="dxa"/>
          </w:tcPr>
          <w:p w14:paraId="553167D4" w14:textId="7A5C2E8F" w:rsidR="009101B2" w:rsidRPr="00D0322D" w:rsidRDefault="009101B2" w:rsidP="00D61A5C">
            <w:pPr>
              <w:pStyle w:val="Default"/>
              <w:rPr>
                <w:sz w:val="22"/>
                <w:szCs w:val="22"/>
              </w:rPr>
            </w:pPr>
            <w:r w:rsidRPr="00D0322D">
              <w:rPr>
                <w:rFonts w:ascii="Arial" w:hAnsi="Arial" w:cs="Arial"/>
                <w:noProof/>
                <w:sz w:val="22"/>
                <w:szCs w:val="22"/>
                <w:lang w:eastAsia="en-GB"/>
              </w:rPr>
              <w:drawing>
                <wp:inline distT="0" distB="0" distL="0" distR="0" wp14:anchorId="3D732B7F" wp14:editId="6C1F45E6">
                  <wp:extent cx="793750" cy="321022"/>
                  <wp:effectExtent l="0" t="0" r="6350" b="3175"/>
                  <wp:docPr id="1" name="Picture 1" descr="107003e5-f0c6-4b46-8468-1d5a7a93b7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7003e5-f0c6-4b46-8468-1d5a7a93b78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4868" cy="321474"/>
                          </a:xfrm>
                          <a:prstGeom prst="rect">
                            <a:avLst/>
                          </a:prstGeom>
                          <a:noFill/>
                          <a:ln>
                            <a:noFill/>
                          </a:ln>
                        </pic:spPr>
                      </pic:pic>
                    </a:graphicData>
                  </a:graphic>
                </wp:inline>
              </w:drawing>
            </w:r>
          </w:p>
        </w:tc>
        <w:tc>
          <w:tcPr>
            <w:tcW w:w="4621" w:type="dxa"/>
          </w:tcPr>
          <w:p w14:paraId="636916F7" w14:textId="3B1F37A8" w:rsidR="009101B2" w:rsidRPr="00D0322D" w:rsidRDefault="00ED50EB" w:rsidP="009101B2">
            <w:pPr>
              <w:pStyle w:val="Default"/>
              <w:jc w:val="right"/>
              <w:rPr>
                <w:sz w:val="22"/>
                <w:szCs w:val="22"/>
              </w:rPr>
            </w:pPr>
            <w:r>
              <w:rPr>
                <w:noProof/>
                <w:sz w:val="22"/>
                <w:szCs w:val="22"/>
                <w:lang w:eastAsia="en-GB"/>
              </w:rPr>
              <w:drawing>
                <wp:inline distT="0" distB="0" distL="0" distR="0" wp14:anchorId="37A70970" wp14:editId="167F6EEC">
                  <wp:extent cx="676656" cy="44196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_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6656" cy="441960"/>
                          </a:xfrm>
                          <a:prstGeom prst="rect">
                            <a:avLst/>
                          </a:prstGeom>
                        </pic:spPr>
                      </pic:pic>
                    </a:graphicData>
                  </a:graphic>
                </wp:inline>
              </w:drawing>
            </w:r>
          </w:p>
        </w:tc>
      </w:tr>
      <w:tr w:rsidR="009101B2" w:rsidRPr="00D0322D" w14:paraId="44DFB124" w14:textId="77777777" w:rsidTr="008F3B32">
        <w:tc>
          <w:tcPr>
            <w:tcW w:w="4621" w:type="dxa"/>
          </w:tcPr>
          <w:p w14:paraId="731B5BB0" w14:textId="78522379" w:rsidR="009101B2" w:rsidRPr="00D0322D" w:rsidRDefault="009101B2" w:rsidP="00D61A5C">
            <w:pPr>
              <w:pStyle w:val="Default"/>
              <w:rPr>
                <w:sz w:val="22"/>
                <w:szCs w:val="22"/>
              </w:rPr>
            </w:pPr>
            <w:r w:rsidRPr="00D0322D">
              <w:rPr>
                <w:rFonts w:asciiTheme="minorHAnsi" w:eastAsiaTheme="minorEastAsia" w:hAnsiTheme="minorHAnsi"/>
                <w:noProof/>
                <w:sz w:val="22"/>
                <w:szCs w:val="22"/>
                <w:lang w:eastAsia="en-GB"/>
              </w:rPr>
              <w:t>James Steer</w:t>
            </w:r>
          </w:p>
        </w:tc>
        <w:tc>
          <w:tcPr>
            <w:tcW w:w="4621" w:type="dxa"/>
          </w:tcPr>
          <w:p w14:paraId="7B99585C" w14:textId="2A2A26BE" w:rsidR="009101B2" w:rsidRPr="00D0322D" w:rsidRDefault="009101B2" w:rsidP="009101B2">
            <w:pPr>
              <w:pStyle w:val="Default"/>
              <w:jc w:val="right"/>
              <w:rPr>
                <w:sz w:val="22"/>
                <w:szCs w:val="22"/>
              </w:rPr>
            </w:pPr>
            <w:r w:rsidRPr="00D0322D">
              <w:rPr>
                <w:sz w:val="22"/>
                <w:szCs w:val="22"/>
              </w:rPr>
              <w:t>Dr Olorunda Rotimi</w:t>
            </w:r>
          </w:p>
        </w:tc>
      </w:tr>
      <w:tr w:rsidR="009101B2" w:rsidRPr="00D0322D" w14:paraId="2D628102" w14:textId="77777777" w:rsidTr="008F3B32">
        <w:tc>
          <w:tcPr>
            <w:tcW w:w="4621" w:type="dxa"/>
          </w:tcPr>
          <w:p w14:paraId="549B8553" w14:textId="0227D63E" w:rsidR="009101B2" w:rsidRPr="00D0322D" w:rsidRDefault="009101B2" w:rsidP="00D61A5C">
            <w:pPr>
              <w:pStyle w:val="Default"/>
              <w:rPr>
                <w:sz w:val="22"/>
                <w:szCs w:val="22"/>
              </w:rPr>
            </w:pPr>
            <w:r w:rsidRPr="00D0322D">
              <w:rPr>
                <w:rFonts w:asciiTheme="minorHAnsi" w:eastAsiaTheme="minorEastAsia" w:hAnsiTheme="minorHAnsi"/>
                <w:noProof/>
                <w:sz w:val="22"/>
                <w:szCs w:val="22"/>
                <w:lang w:eastAsia="en-GB"/>
              </w:rPr>
              <w:t>Head of Laboratory and Clinical Lead</w:t>
            </w:r>
          </w:p>
        </w:tc>
        <w:tc>
          <w:tcPr>
            <w:tcW w:w="4621" w:type="dxa"/>
          </w:tcPr>
          <w:p w14:paraId="6D56936C" w14:textId="38376DE4" w:rsidR="009101B2" w:rsidRPr="00D0322D" w:rsidRDefault="009101B2" w:rsidP="009101B2">
            <w:pPr>
              <w:pStyle w:val="Default"/>
              <w:jc w:val="right"/>
              <w:rPr>
                <w:sz w:val="22"/>
                <w:szCs w:val="22"/>
              </w:rPr>
            </w:pPr>
            <w:r w:rsidRPr="00D0322D">
              <w:rPr>
                <w:sz w:val="22"/>
                <w:szCs w:val="22"/>
              </w:rPr>
              <w:t>Clinical Director</w:t>
            </w:r>
          </w:p>
        </w:tc>
      </w:tr>
      <w:tr w:rsidR="009101B2" w:rsidRPr="00D0322D" w14:paraId="3BF67BB0" w14:textId="77777777" w:rsidTr="008F3B32">
        <w:tc>
          <w:tcPr>
            <w:tcW w:w="4621" w:type="dxa"/>
          </w:tcPr>
          <w:p w14:paraId="36FBFD6C" w14:textId="4D52B09C" w:rsidR="009101B2" w:rsidRPr="00D0322D" w:rsidRDefault="009101B2" w:rsidP="00D61A5C">
            <w:pPr>
              <w:pStyle w:val="Default"/>
              <w:rPr>
                <w:sz w:val="22"/>
                <w:szCs w:val="22"/>
              </w:rPr>
            </w:pPr>
            <w:r w:rsidRPr="00D0322D">
              <w:rPr>
                <w:rFonts w:asciiTheme="minorHAnsi" w:eastAsiaTheme="minorEastAsia" w:hAnsiTheme="minorHAnsi"/>
                <w:noProof/>
                <w:sz w:val="22"/>
                <w:szCs w:val="22"/>
                <w:lang w:eastAsia="en-GB"/>
              </w:rPr>
              <w:t>NE&amp;Y GLH Central Laboratory Leeds</w:t>
            </w:r>
          </w:p>
        </w:tc>
        <w:tc>
          <w:tcPr>
            <w:tcW w:w="4621" w:type="dxa"/>
          </w:tcPr>
          <w:p w14:paraId="7C35EDF3" w14:textId="69988EC4" w:rsidR="009101B2" w:rsidRPr="00D0322D" w:rsidRDefault="00ED50EB" w:rsidP="009101B2">
            <w:pPr>
              <w:pStyle w:val="Default"/>
              <w:jc w:val="right"/>
              <w:rPr>
                <w:sz w:val="22"/>
                <w:szCs w:val="22"/>
              </w:rPr>
            </w:pPr>
            <w:r>
              <w:rPr>
                <w:sz w:val="22"/>
                <w:szCs w:val="22"/>
              </w:rPr>
              <w:t>Pathology Services, LTHT</w:t>
            </w:r>
          </w:p>
        </w:tc>
      </w:tr>
      <w:tr w:rsidR="009101B2" w:rsidRPr="00D0322D" w14:paraId="74D3556B" w14:textId="77777777" w:rsidTr="008F3B32">
        <w:tc>
          <w:tcPr>
            <w:tcW w:w="4621" w:type="dxa"/>
          </w:tcPr>
          <w:p w14:paraId="7DCDC113" w14:textId="4EFF41B8" w:rsidR="009101B2" w:rsidRPr="00D0322D" w:rsidRDefault="00762C2D" w:rsidP="00D61A5C">
            <w:pPr>
              <w:pStyle w:val="Default"/>
              <w:rPr>
                <w:rFonts w:asciiTheme="minorHAnsi" w:eastAsiaTheme="minorEastAsia" w:hAnsiTheme="minorHAnsi"/>
                <w:noProof/>
                <w:sz w:val="22"/>
                <w:szCs w:val="22"/>
                <w:lang w:eastAsia="en-GB"/>
              </w:rPr>
            </w:pPr>
            <w:hyperlink r:id="rId10" w:history="1">
              <w:r w:rsidR="009101B2" w:rsidRPr="00D0322D">
                <w:rPr>
                  <w:rStyle w:val="Hyperlink"/>
                  <w:rFonts w:asciiTheme="minorHAnsi" w:eastAsiaTheme="minorEastAsia" w:hAnsiTheme="minorHAnsi"/>
                  <w:noProof/>
                  <w:sz w:val="22"/>
                  <w:szCs w:val="22"/>
                  <w:lang w:eastAsia="en-GB"/>
                </w:rPr>
                <w:t>James.steer@nhs.net</w:t>
              </w:r>
            </w:hyperlink>
          </w:p>
        </w:tc>
        <w:tc>
          <w:tcPr>
            <w:tcW w:w="4621" w:type="dxa"/>
          </w:tcPr>
          <w:p w14:paraId="5974E71E" w14:textId="77777777" w:rsidR="009101B2" w:rsidRPr="00D0322D" w:rsidRDefault="009101B2" w:rsidP="009101B2">
            <w:pPr>
              <w:pStyle w:val="Default"/>
              <w:jc w:val="right"/>
              <w:rPr>
                <w:sz w:val="22"/>
                <w:szCs w:val="22"/>
              </w:rPr>
            </w:pPr>
          </w:p>
        </w:tc>
      </w:tr>
      <w:tr w:rsidR="009101B2" w:rsidRPr="00D0322D" w14:paraId="770A850B" w14:textId="77777777" w:rsidTr="008F3B32">
        <w:tc>
          <w:tcPr>
            <w:tcW w:w="4621" w:type="dxa"/>
          </w:tcPr>
          <w:p w14:paraId="665FE5E2" w14:textId="31890BB5" w:rsidR="009101B2" w:rsidRPr="00D0322D" w:rsidRDefault="009101B2" w:rsidP="00D61A5C">
            <w:pPr>
              <w:pStyle w:val="Default"/>
              <w:rPr>
                <w:rFonts w:asciiTheme="minorHAnsi" w:eastAsiaTheme="minorEastAsia" w:hAnsiTheme="minorHAnsi"/>
                <w:noProof/>
                <w:sz w:val="22"/>
                <w:szCs w:val="22"/>
                <w:lang w:eastAsia="en-GB"/>
              </w:rPr>
            </w:pPr>
            <w:r w:rsidRPr="00D0322D">
              <w:rPr>
                <w:rFonts w:asciiTheme="minorHAnsi" w:eastAsiaTheme="minorEastAsia" w:hAnsiTheme="minorHAnsi"/>
                <w:noProof/>
                <w:sz w:val="22"/>
                <w:szCs w:val="22"/>
                <w:lang w:eastAsia="en-GB"/>
              </w:rPr>
              <w:t>0113 2066958</w:t>
            </w:r>
          </w:p>
        </w:tc>
        <w:tc>
          <w:tcPr>
            <w:tcW w:w="4621" w:type="dxa"/>
          </w:tcPr>
          <w:p w14:paraId="08030604" w14:textId="77777777" w:rsidR="009101B2" w:rsidRPr="00D0322D" w:rsidRDefault="009101B2" w:rsidP="009101B2">
            <w:pPr>
              <w:pStyle w:val="Default"/>
              <w:jc w:val="right"/>
              <w:rPr>
                <w:sz w:val="22"/>
                <w:szCs w:val="22"/>
              </w:rPr>
            </w:pPr>
          </w:p>
        </w:tc>
      </w:tr>
      <w:tr w:rsidR="009101B2" w:rsidRPr="00D0322D" w14:paraId="715423E9" w14:textId="77777777" w:rsidTr="008F3B32">
        <w:tc>
          <w:tcPr>
            <w:tcW w:w="4621" w:type="dxa"/>
          </w:tcPr>
          <w:p w14:paraId="10D6BD7F" w14:textId="525B28E2" w:rsidR="009101B2" w:rsidRPr="00D0322D" w:rsidRDefault="009101B2" w:rsidP="00D61A5C">
            <w:pPr>
              <w:pStyle w:val="Default"/>
              <w:rPr>
                <w:rFonts w:asciiTheme="minorHAnsi" w:eastAsiaTheme="minorEastAsia" w:hAnsiTheme="minorHAnsi"/>
                <w:noProof/>
                <w:sz w:val="22"/>
                <w:szCs w:val="22"/>
                <w:lang w:eastAsia="en-GB"/>
              </w:rPr>
            </w:pPr>
            <w:r w:rsidRPr="00D0322D">
              <w:rPr>
                <w:rFonts w:asciiTheme="minorHAnsi" w:eastAsiaTheme="minorEastAsia" w:hAnsiTheme="minorHAnsi"/>
                <w:noProof/>
                <w:sz w:val="22"/>
                <w:szCs w:val="22"/>
                <w:lang w:eastAsia="en-GB"/>
              </w:rPr>
              <w:drawing>
                <wp:inline distT="0" distB="0" distL="0" distR="0" wp14:anchorId="0E3C4138" wp14:editId="35FC86AD">
                  <wp:extent cx="1130300" cy="428969"/>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679" cy="436703"/>
                          </a:xfrm>
                          <a:prstGeom prst="rect">
                            <a:avLst/>
                          </a:prstGeom>
                          <a:noFill/>
                          <a:ln>
                            <a:noFill/>
                          </a:ln>
                        </pic:spPr>
                      </pic:pic>
                    </a:graphicData>
                  </a:graphic>
                </wp:inline>
              </w:drawing>
            </w:r>
          </w:p>
        </w:tc>
        <w:tc>
          <w:tcPr>
            <w:tcW w:w="4621" w:type="dxa"/>
          </w:tcPr>
          <w:p w14:paraId="193069B6" w14:textId="77777777" w:rsidR="009101B2" w:rsidRPr="00D0322D" w:rsidRDefault="009101B2" w:rsidP="009101B2">
            <w:pPr>
              <w:pStyle w:val="Default"/>
              <w:jc w:val="right"/>
              <w:rPr>
                <w:sz w:val="22"/>
                <w:szCs w:val="22"/>
              </w:rPr>
            </w:pPr>
          </w:p>
        </w:tc>
      </w:tr>
    </w:tbl>
    <w:p w14:paraId="61CDEF7A" w14:textId="72CA2F07" w:rsidR="00494C7C" w:rsidRPr="002051AA" w:rsidRDefault="00494C7C" w:rsidP="002051AA">
      <w:pPr>
        <w:rPr>
          <w:rFonts w:asciiTheme="minorHAnsi" w:eastAsiaTheme="minorEastAsia" w:hAnsiTheme="minorHAnsi"/>
          <w:noProof/>
          <w:lang w:eastAsia="en-GB"/>
        </w:rPr>
      </w:pPr>
      <w:bookmarkStart w:id="0" w:name="_MailAutoSig"/>
      <w:r>
        <w:rPr>
          <w:rFonts w:eastAsia="Calibri" w:cs="Times New Roman"/>
          <w:noProof/>
          <w:color w:val="1F497D"/>
          <w:lang w:eastAsia="en-GB"/>
        </w:rPr>
        <w:drawing>
          <wp:inline distT="0" distB="0" distL="0" distR="0" wp14:anchorId="22D63978" wp14:editId="0F6767D2">
            <wp:extent cx="476250" cy="476250"/>
            <wp:effectExtent l="0" t="0" r="0" b="0"/>
            <wp:docPr id="7" name="Picture 7" descr="cid:image002.jpg@01D6E439.97EB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6E439.97EB09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rFonts w:eastAsia="Calibri" w:cs="Times New Roman"/>
          <w:noProof/>
          <w:color w:val="1F497D"/>
          <w:lang w:eastAsia="en-GB"/>
        </w:rPr>
        <w:drawing>
          <wp:inline distT="0" distB="0" distL="0" distR="0" wp14:anchorId="0D0691BF" wp14:editId="5012178A">
            <wp:extent cx="495300" cy="495300"/>
            <wp:effectExtent l="0" t="0" r="0" b="0"/>
            <wp:docPr id="6" name="Picture 6" descr="Description: cid:image005.jpg@01D5F7AD.B424A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id:image005.jpg@01D5F7AD.B424A1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Pr>
          <w:rFonts w:eastAsia="Calibri" w:cs="Times New Roman"/>
          <w:noProof/>
          <w:color w:val="1F497D"/>
          <w:lang w:eastAsia="en-GB"/>
        </w:rPr>
        <w:drawing>
          <wp:inline distT="0" distB="0" distL="0" distR="0" wp14:anchorId="611DEA17" wp14:editId="53AA4FD8">
            <wp:extent cx="485775" cy="485775"/>
            <wp:effectExtent l="0" t="0" r="9525" b="9525"/>
            <wp:docPr id="5" name="Picture 5" descr="Description: cid:image006.jpg@01D5F7AD.B424A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id:image006.jpg@01D5F7AD.B424A1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eastAsia="Calibri" w:cs="Times New Roman"/>
          <w:noProof/>
          <w:color w:val="1F497D"/>
          <w:lang w:eastAsia="en-GB"/>
        </w:rPr>
        <w:drawing>
          <wp:inline distT="0" distB="0" distL="0" distR="0" wp14:anchorId="47C5E2FE" wp14:editId="0DA1F5BB">
            <wp:extent cx="495300" cy="495300"/>
            <wp:effectExtent l="0" t="0" r="0" b="0"/>
            <wp:docPr id="4" name="Picture 4" descr="Description: cid:image007.jpg@01D5F7AD.B424A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id:image007.jpg@01D5F7AD.B424A1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Pr>
          <w:rFonts w:eastAsia="Calibri" w:cs="Times New Roman"/>
          <w:noProof/>
          <w:color w:val="1F497D"/>
          <w:lang w:eastAsia="en-GB"/>
        </w:rPr>
        <w:drawing>
          <wp:inline distT="0" distB="0" distL="0" distR="0" wp14:anchorId="195CB70A" wp14:editId="14E6C5A4">
            <wp:extent cx="485775" cy="485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eastAsia="Calibri" w:cs="Times New Roman"/>
          <w:noProof/>
          <w:color w:val="000000"/>
          <w:lang w:eastAsia="en-GB"/>
        </w:rPr>
        <w:drawing>
          <wp:inline distT="0" distB="0" distL="0" distR="0" wp14:anchorId="7438D13C" wp14:editId="42BFCE87">
            <wp:extent cx="838200" cy="504825"/>
            <wp:effectExtent l="0" t="0" r="0" b="9525"/>
            <wp:docPr id="2" name="Picture 2" descr="cid:image007.png@01D6E439.97EB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7.png@01D6E439.97EB09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8200" cy="504825"/>
                    </a:xfrm>
                    <a:prstGeom prst="rect">
                      <a:avLst/>
                    </a:prstGeom>
                    <a:noFill/>
                    <a:ln>
                      <a:noFill/>
                    </a:ln>
                  </pic:spPr>
                </pic:pic>
              </a:graphicData>
            </a:graphic>
          </wp:inline>
        </w:drawing>
      </w:r>
      <w:r>
        <w:rPr>
          <w:rFonts w:eastAsia="Calibri" w:cs="Times New Roman"/>
          <w:noProof/>
          <w:color w:val="000000"/>
          <w:lang w:eastAsia="en-GB"/>
        </w:rPr>
        <w:tab/>
      </w:r>
      <w:bookmarkEnd w:id="0"/>
    </w:p>
    <w:sectPr w:rsidR="00494C7C" w:rsidRPr="002051AA">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B6C2D" w14:textId="77777777" w:rsidR="00761EFB" w:rsidRDefault="00761EFB" w:rsidP="00AD632A">
      <w:r>
        <w:separator/>
      </w:r>
    </w:p>
  </w:endnote>
  <w:endnote w:type="continuationSeparator" w:id="0">
    <w:p w14:paraId="48E3273D" w14:textId="77777777" w:rsidR="00761EFB" w:rsidRDefault="00761EFB"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412305"/>
      <w:docPartObj>
        <w:docPartGallery w:val="Page Numbers (Bottom of Page)"/>
        <w:docPartUnique/>
      </w:docPartObj>
    </w:sdtPr>
    <w:sdtEndPr>
      <w:rPr>
        <w:noProof/>
        <w:sz w:val="22"/>
      </w:rPr>
    </w:sdtEndPr>
    <w:sdtContent>
      <w:p w14:paraId="7D3ADA0D" w14:textId="0BD06996" w:rsidR="00D0322D" w:rsidRPr="00D0322D" w:rsidRDefault="00D0322D">
        <w:pPr>
          <w:pStyle w:val="Footer"/>
          <w:rPr>
            <w:sz w:val="22"/>
          </w:rPr>
        </w:pPr>
        <w:r w:rsidRPr="00D0322D">
          <w:rPr>
            <w:sz w:val="22"/>
          </w:rPr>
          <w:fldChar w:fldCharType="begin"/>
        </w:r>
        <w:r w:rsidRPr="00D0322D">
          <w:rPr>
            <w:sz w:val="22"/>
          </w:rPr>
          <w:instrText xml:space="preserve"> PAGE   \* MERGEFORMAT </w:instrText>
        </w:r>
        <w:r w:rsidRPr="00D0322D">
          <w:rPr>
            <w:sz w:val="22"/>
          </w:rPr>
          <w:fldChar w:fldCharType="separate"/>
        </w:r>
        <w:r w:rsidR="00B5205F">
          <w:rPr>
            <w:noProof/>
            <w:sz w:val="22"/>
          </w:rPr>
          <w:t>2</w:t>
        </w:r>
        <w:r w:rsidRPr="00D0322D">
          <w:rPr>
            <w:noProof/>
            <w:sz w:val="22"/>
          </w:rPr>
          <w:fldChar w:fldCharType="end"/>
        </w:r>
        <w:r w:rsidRPr="00D0322D">
          <w:rPr>
            <w:noProof/>
            <w:sz w:val="22"/>
          </w:rPr>
          <w:t>/2</w:t>
        </w:r>
      </w:p>
    </w:sdtContent>
  </w:sdt>
  <w:p w14:paraId="707574D1" w14:textId="110162E0" w:rsidR="00AD632A" w:rsidRPr="00AD632A" w:rsidRDefault="00AD632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6F88" w14:textId="77777777" w:rsidR="00761EFB" w:rsidRDefault="00761EFB" w:rsidP="00AD632A">
      <w:r>
        <w:separator/>
      </w:r>
    </w:p>
  </w:footnote>
  <w:footnote w:type="continuationSeparator" w:id="0">
    <w:p w14:paraId="36EFA085" w14:textId="77777777" w:rsidR="00761EFB" w:rsidRDefault="00761EFB" w:rsidP="00AD6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33EFE"/>
    <w:multiLevelType w:val="hybridMultilevel"/>
    <w:tmpl w:val="86109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D445E3"/>
    <w:multiLevelType w:val="hybridMultilevel"/>
    <w:tmpl w:val="7C2A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531773">
    <w:abstractNumId w:val="1"/>
  </w:num>
  <w:num w:numId="2" w16cid:durableId="49815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5C"/>
    <w:rsid w:val="001E6AD5"/>
    <w:rsid w:val="002051AA"/>
    <w:rsid w:val="0028153A"/>
    <w:rsid w:val="00494C7C"/>
    <w:rsid w:val="004A5139"/>
    <w:rsid w:val="004C3238"/>
    <w:rsid w:val="00523918"/>
    <w:rsid w:val="006D1D8D"/>
    <w:rsid w:val="006E7C15"/>
    <w:rsid w:val="00761EFB"/>
    <w:rsid w:val="00762C2D"/>
    <w:rsid w:val="00797260"/>
    <w:rsid w:val="007A1B46"/>
    <w:rsid w:val="007D34D0"/>
    <w:rsid w:val="008F3B32"/>
    <w:rsid w:val="009101B2"/>
    <w:rsid w:val="00AD632A"/>
    <w:rsid w:val="00B5205F"/>
    <w:rsid w:val="00BA47DC"/>
    <w:rsid w:val="00BB3D0A"/>
    <w:rsid w:val="00BC6A2B"/>
    <w:rsid w:val="00D0322D"/>
    <w:rsid w:val="00D555A3"/>
    <w:rsid w:val="00D61A5C"/>
    <w:rsid w:val="00DA3072"/>
    <w:rsid w:val="00DE11B7"/>
    <w:rsid w:val="00DF5A90"/>
    <w:rsid w:val="00E32805"/>
    <w:rsid w:val="00E34C78"/>
    <w:rsid w:val="00EB469A"/>
    <w:rsid w:val="00ED50EB"/>
    <w:rsid w:val="00F82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7ACF43"/>
  <w15:docId w15:val="{5758E470-1B2E-413C-B50E-3F5548FB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BalloonText">
    <w:name w:val="Balloon Text"/>
    <w:basedOn w:val="Normal"/>
    <w:link w:val="BalloonTextChar"/>
    <w:uiPriority w:val="99"/>
    <w:semiHidden/>
    <w:unhideWhenUsed/>
    <w:rsid w:val="00D61A5C"/>
    <w:rPr>
      <w:rFonts w:ascii="Tahoma" w:hAnsi="Tahoma" w:cs="Tahoma"/>
      <w:sz w:val="16"/>
      <w:szCs w:val="16"/>
    </w:rPr>
  </w:style>
  <w:style w:type="character" w:customStyle="1" w:styleId="BalloonTextChar">
    <w:name w:val="Balloon Text Char"/>
    <w:basedOn w:val="DefaultParagraphFont"/>
    <w:link w:val="BalloonText"/>
    <w:uiPriority w:val="99"/>
    <w:semiHidden/>
    <w:rsid w:val="00D61A5C"/>
    <w:rPr>
      <w:rFonts w:ascii="Tahoma" w:hAnsi="Tahoma" w:cs="Tahoma"/>
      <w:sz w:val="16"/>
      <w:szCs w:val="16"/>
    </w:rPr>
  </w:style>
  <w:style w:type="paragraph" w:customStyle="1" w:styleId="Default">
    <w:name w:val="Default"/>
    <w:rsid w:val="00D61A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494C7C"/>
    <w:rPr>
      <w:color w:val="0000FF"/>
      <w:u w:val="single"/>
    </w:rPr>
  </w:style>
  <w:style w:type="table" w:styleId="TableGrid">
    <w:name w:val="Table Grid"/>
    <w:basedOn w:val="TableNormal"/>
    <w:uiPriority w:val="59"/>
    <w:rsid w:val="007A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50EB"/>
    <w:rPr>
      <w:sz w:val="16"/>
      <w:szCs w:val="16"/>
    </w:rPr>
  </w:style>
  <w:style w:type="paragraph" w:styleId="CommentText">
    <w:name w:val="annotation text"/>
    <w:basedOn w:val="Normal"/>
    <w:link w:val="CommentTextChar"/>
    <w:uiPriority w:val="99"/>
    <w:semiHidden/>
    <w:unhideWhenUsed/>
    <w:rsid w:val="00ED50EB"/>
    <w:rPr>
      <w:sz w:val="20"/>
      <w:szCs w:val="20"/>
    </w:rPr>
  </w:style>
  <w:style w:type="character" w:customStyle="1" w:styleId="CommentTextChar">
    <w:name w:val="Comment Text Char"/>
    <w:basedOn w:val="DefaultParagraphFont"/>
    <w:link w:val="CommentText"/>
    <w:uiPriority w:val="99"/>
    <w:semiHidden/>
    <w:rsid w:val="00ED50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50EB"/>
    <w:rPr>
      <w:b/>
      <w:bCs/>
    </w:rPr>
  </w:style>
  <w:style w:type="character" w:customStyle="1" w:styleId="CommentSubjectChar">
    <w:name w:val="Comment Subject Char"/>
    <w:basedOn w:val="CommentTextChar"/>
    <w:link w:val="CommentSubject"/>
    <w:uiPriority w:val="99"/>
    <w:semiHidden/>
    <w:rsid w:val="00ED50EB"/>
    <w:rPr>
      <w:rFonts w:ascii="Arial" w:hAnsi="Arial"/>
      <w:b/>
      <w:bCs/>
      <w:sz w:val="20"/>
      <w:szCs w:val="20"/>
    </w:rPr>
  </w:style>
  <w:style w:type="paragraph" w:styleId="Revision">
    <w:name w:val="Revision"/>
    <w:hidden/>
    <w:uiPriority w:val="99"/>
    <w:semiHidden/>
    <w:rsid w:val="0079726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066723">
      <w:bodyDiv w:val="1"/>
      <w:marLeft w:val="0"/>
      <w:marRight w:val="0"/>
      <w:marTop w:val="0"/>
      <w:marBottom w:val="0"/>
      <w:divBdr>
        <w:top w:val="none" w:sz="0" w:space="0" w:color="auto"/>
        <w:left w:val="none" w:sz="0" w:space="0" w:color="auto"/>
        <w:bottom w:val="none" w:sz="0" w:space="0" w:color="auto"/>
        <w:right w:val="none" w:sz="0" w:space="0" w:color="auto"/>
      </w:divBdr>
    </w:div>
    <w:div w:id="152162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hyperlink" Target="mailto:James.steer@nhs.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582</Words>
  <Characters>3324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Steer</dc:creator>
  <cp:lastModifiedBy>PEARSON, Charlotte (LEEDS TEACHING HOSPITALS NHS TRUST)</cp:lastModifiedBy>
  <cp:revision>2</cp:revision>
  <dcterms:created xsi:type="dcterms:W3CDTF">2023-11-16T13:05:00Z</dcterms:created>
  <dcterms:modified xsi:type="dcterms:W3CDTF">2023-11-16T13:05:00Z</dcterms:modified>
</cp:coreProperties>
</file>