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2B97" w14:textId="2B445DDC" w:rsidR="002E0F8A" w:rsidRDefault="002E0F8A" w:rsidP="009B04FE">
      <w:pPr>
        <w:jc w:val="right"/>
        <w:rPr>
          <w:b/>
          <w:sz w:val="28"/>
          <w:szCs w:val="28"/>
        </w:rPr>
      </w:pPr>
    </w:p>
    <w:p w14:paraId="33141C18" w14:textId="2B9871AC" w:rsidR="002E0F8A" w:rsidRDefault="003947E5" w:rsidP="003947E5">
      <w:pPr>
        <w:tabs>
          <w:tab w:val="left" w:pos="11235"/>
        </w:tabs>
        <w:rPr>
          <w:b/>
          <w:sz w:val="28"/>
          <w:szCs w:val="28"/>
        </w:rPr>
      </w:pPr>
      <w:r>
        <w:rPr>
          <w:b/>
          <w:sz w:val="28"/>
          <w:szCs w:val="28"/>
        </w:rPr>
        <w:tab/>
      </w:r>
      <w:r w:rsidR="00E97A77">
        <w:rPr>
          <w:noProof/>
        </w:rPr>
        <w:drawing>
          <wp:inline distT="0" distB="0" distL="0" distR="0" wp14:anchorId="124D90B4" wp14:editId="44B50C3A">
            <wp:extent cx="1772920" cy="904875"/>
            <wp:effectExtent l="0" t="0" r="0" b="9525"/>
            <wp:docPr id="38" name="Picture 38" descr="G:\Policy Approval December 13\Templates\LTHT NHS logo v2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Policy Approval December 13\Templates\LTHT NHS logo v2 2017.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2920" cy="904875"/>
                    </a:xfrm>
                    <a:prstGeom prst="rect">
                      <a:avLst/>
                    </a:prstGeom>
                    <a:noFill/>
                    <a:ln>
                      <a:noFill/>
                    </a:ln>
                  </pic:spPr>
                </pic:pic>
              </a:graphicData>
            </a:graphic>
          </wp:inline>
        </w:drawing>
      </w:r>
    </w:p>
    <w:p w14:paraId="6CEAAB67" w14:textId="77777777" w:rsidR="003E763A" w:rsidRPr="003E763A" w:rsidRDefault="003E763A" w:rsidP="003E763A">
      <w:pPr>
        <w:jc w:val="center"/>
        <w:rPr>
          <w:b/>
          <w:sz w:val="28"/>
          <w:szCs w:val="28"/>
        </w:rPr>
      </w:pPr>
      <w:r w:rsidRPr="003E763A">
        <w:rPr>
          <w:b/>
          <w:sz w:val="28"/>
          <w:szCs w:val="28"/>
        </w:rPr>
        <w:t>NHS Equality Delivery System (EDS2022)</w:t>
      </w:r>
    </w:p>
    <w:p w14:paraId="042AB5B1" w14:textId="0B9D9A75" w:rsidR="003E763A" w:rsidRPr="003E763A" w:rsidRDefault="003E763A" w:rsidP="003E763A">
      <w:pPr>
        <w:jc w:val="center"/>
        <w:rPr>
          <w:b/>
          <w:sz w:val="28"/>
          <w:szCs w:val="28"/>
        </w:rPr>
      </w:pPr>
      <w:r w:rsidRPr="003E763A">
        <w:rPr>
          <w:b/>
          <w:sz w:val="28"/>
          <w:szCs w:val="28"/>
        </w:rPr>
        <w:t xml:space="preserve">Domain </w:t>
      </w:r>
      <w:r>
        <w:rPr>
          <w:b/>
          <w:sz w:val="28"/>
          <w:szCs w:val="28"/>
        </w:rPr>
        <w:t>3</w:t>
      </w:r>
      <w:r w:rsidRPr="003E763A">
        <w:rPr>
          <w:b/>
          <w:sz w:val="28"/>
          <w:szCs w:val="28"/>
        </w:rPr>
        <w:t xml:space="preserve">: </w:t>
      </w:r>
      <w:r>
        <w:rPr>
          <w:b/>
          <w:sz w:val="28"/>
          <w:szCs w:val="28"/>
        </w:rPr>
        <w:tab/>
        <w:t>Inclusive Leadership</w:t>
      </w:r>
    </w:p>
    <w:p w14:paraId="7588F2E9" w14:textId="77777777" w:rsidR="003E763A" w:rsidRPr="003E763A" w:rsidRDefault="003E763A" w:rsidP="003E763A">
      <w:pPr>
        <w:rPr>
          <w:b/>
          <w:sz w:val="28"/>
          <w:szCs w:val="28"/>
        </w:rPr>
      </w:pPr>
      <w:r w:rsidRPr="003E763A">
        <w:rPr>
          <w:b/>
          <w:sz w:val="28"/>
          <w:szCs w:val="28"/>
        </w:rPr>
        <w:t xml:space="preserve"> </w:t>
      </w:r>
    </w:p>
    <w:p w14:paraId="21DBBA8A" w14:textId="77777777" w:rsidR="003E763A" w:rsidRPr="003E763A" w:rsidRDefault="003E763A" w:rsidP="003E763A">
      <w:pPr>
        <w:keepNext/>
        <w:keepLines/>
        <w:spacing w:before="60" w:after="280"/>
        <w:outlineLvl w:val="1"/>
        <w:rPr>
          <w:rFonts w:eastAsiaTheme="majorEastAsia" w:cstheme="majorBidi"/>
          <w:b/>
          <w:bCs/>
          <w:color w:val="005EB8"/>
          <w:sz w:val="28"/>
          <w:szCs w:val="28"/>
          <w:lang w:eastAsia="en-US"/>
        </w:rPr>
      </w:pPr>
      <w:r w:rsidRPr="003E763A">
        <w:rPr>
          <w:rFonts w:eastAsiaTheme="majorEastAsia" w:cstheme="majorBidi"/>
          <w:b/>
          <w:bCs/>
          <w:color w:val="005EB8"/>
          <w:sz w:val="28"/>
          <w:szCs w:val="28"/>
          <w:lang w:eastAsia="en-US"/>
        </w:rPr>
        <w:t xml:space="preserve">EDS Ratings &amp; Scores </w:t>
      </w:r>
    </w:p>
    <w:tbl>
      <w:tblPr>
        <w:tblStyle w:val="TableGrid"/>
        <w:tblW w:w="13598" w:type="dxa"/>
        <w:tblCellMar>
          <w:top w:w="62" w:type="dxa"/>
          <w:left w:w="62" w:type="dxa"/>
          <w:bottom w:w="62" w:type="dxa"/>
          <w:right w:w="62" w:type="dxa"/>
        </w:tblCellMar>
        <w:tblLook w:val="04A0" w:firstRow="1" w:lastRow="0" w:firstColumn="1" w:lastColumn="0" w:noHBand="0" w:noVBand="1"/>
      </w:tblPr>
      <w:tblGrid>
        <w:gridCol w:w="6799"/>
        <w:gridCol w:w="6799"/>
      </w:tblGrid>
      <w:tr w:rsidR="003E763A" w:rsidRPr="003E763A" w14:paraId="3510FFC1" w14:textId="77777777" w:rsidTr="000214BB">
        <w:tc>
          <w:tcPr>
            <w:tcW w:w="13598" w:type="dxa"/>
            <w:gridSpan w:val="2"/>
            <w:shd w:val="clear" w:color="auto" w:fill="D9E2F3" w:themeFill="accent1" w:themeFillTint="33"/>
          </w:tcPr>
          <w:p w14:paraId="05900C0A" w14:textId="699378CB" w:rsidR="003E763A" w:rsidRPr="003E763A" w:rsidRDefault="003E763A" w:rsidP="003E763A">
            <w:pPr>
              <w:rPr>
                <w:b/>
                <w:sz w:val="28"/>
                <w:szCs w:val="28"/>
              </w:rPr>
            </w:pPr>
            <w:r w:rsidRPr="003E763A">
              <w:t xml:space="preserve">Refer to Pages </w:t>
            </w:r>
            <w:r w:rsidR="00762F8C">
              <w:t>25</w:t>
            </w:r>
            <w:r w:rsidRPr="003E763A">
              <w:t xml:space="preserve"> to </w:t>
            </w:r>
            <w:r w:rsidR="00762F8C">
              <w:t>31</w:t>
            </w:r>
            <w:r w:rsidRPr="003E763A">
              <w:t xml:space="preserve"> in the </w:t>
            </w:r>
            <w:hyperlink r:id="rId9" w:history="1">
              <w:r w:rsidRPr="003E763A">
                <w:rPr>
                  <w:color w:val="0000FF"/>
                  <w:u w:val="single"/>
                </w:rPr>
                <w:t>EDS Ratings and Score Card Guidance</w:t>
              </w:r>
            </w:hyperlink>
            <w:r w:rsidRPr="003E763A">
              <w:t xml:space="preserve"> for a full explanation of the new rating and scoring procedure and to ensure ratings and scores are correct.</w:t>
            </w:r>
          </w:p>
          <w:p w14:paraId="022A8F30" w14:textId="77777777" w:rsidR="003E763A" w:rsidRPr="003E763A" w:rsidRDefault="003E763A" w:rsidP="003E763A">
            <w:pPr>
              <w:rPr>
                <w:rFonts w:eastAsiaTheme="minorHAnsi" w:cstheme="minorBidi"/>
                <w:color w:val="231F20"/>
                <w:lang w:eastAsia="en-US"/>
              </w:rPr>
            </w:pPr>
          </w:p>
          <w:p w14:paraId="35C3D6B7" w14:textId="77777777" w:rsidR="003E763A" w:rsidRPr="003E763A" w:rsidRDefault="003E763A" w:rsidP="003E763A">
            <w:pPr>
              <w:rPr>
                <w:rFonts w:eastAsiaTheme="minorHAnsi" w:cstheme="minorBidi"/>
                <w:color w:val="231F20"/>
                <w:lang w:eastAsia="en-US"/>
              </w:rPr>
            </w:pPr>
            <w:r w:rsidRPr="003E763A">
              <w:rPr>
                <w:rFonts w:eastAsiaTheme="minorHAnsi" w:cstheme="minorBidi"/>
                <w:color w:val="231F20"/>
                <w:lang w:eastAsia="en-US"/>
              </w:rPr>
              <w:t xml:space="preserve">Each outcome must be scored and all scores of all outcomes added together. This will provide the overall score and the EDS Organisation Rating. Ratings in accordance </w:t>
            </w:r>
            <w:proofErr w:type="gramStart"/>
            <w:r w:rsidRPr="003E763A">
              <w:rPr>
                <w:rFonts w:eastAsiaTheme="minorHAnsi" w:cstheme="minorBidi"/>
                <w:color w:val="231F20"/>
                <w:lang w:eastAsia="en-US"/>
              </w:rPr>
              <w:t>to</w:t>
            </w:r>
            <w:proofErr w:type="gramEnd"/>
            <w:r w:rsidRPr="003E763A">
              <w:rPr>
                <w:rFonts w:eastAsiaTheme="minorHAnsi" w:cstheme="minorBidi"/>
                <w:color w:val="231F20"/>
                <w:lang w:eastAsia="en-US"/>
              </w:rPr>
              <w:t xml:space="preserve"> scores are below:</w:t>
            </w:r>
          </w:p>
        </w:tc>
      </w:tr>
      <w:tr w:rsidR="003E763A" w:rsidRPr="003E763A" w14:paraId="07BA4145" w14:textId="77777777" w:rsidTr="000214BB">
        <w:trPr>
          <w:trHeight w:val="428"/>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8304E5A" w14:textId="340C876C" w:rsidR="003E763A" w:rsidRPr="003E763A" w:rsidRDefault="003E763A" w:rsidP="003E763A">
            <w:r w:rsidRPr="003E763A">
              <w:rPr>
                <w:b/>
                <w:color w:val="C00000"/>
              </w:rPr>
              <w:t>Undeveloped activity</w:t>
            </w:r>
            <w:r w:rsidRPr="003E763A">
              <w:t xml:space="preserve"> – </w:t>
            </w:r>
            <w:r w:rsidRPr="003E763A">
              <w:rPr>
                <w:b/>
              </w:rPr>
              <w:t>organisations score 0</w:t>
            </w:r>
            <w:r w:rsidRPr="003E763A">
              <w:t xml:space="preserve"> </w:t>
            </w:r>
            <w:r w:rsidRPr="00DB5AEF">
              <w:rPr>
                <w:b/>
                <w:bCs/>
              </w:rPr>
              <w:t>for each outcome</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03AB83A" w14:textId="77777777" w:rsidR="003E763A" w:rsidRPr="003E763A" w:rsidRDefault="003E763A" w:rsidP="003E763A">
            <w:pPr>
              <w:rPr>
                <w:b/>
                <w:color w:val="7030A0"/>
              </w:rPr>
            </w:pPr>
            <w:r w:rsidRPr="003E763A">
              <w:t xml:space="preserve">Those who score </w:t>
            </w:r>
            <w:r w:rsidRPr="003E763A">
              <w:rPr>
                <w:b/>
              </w:rPr>
              <w:t>under 8,</w:t>
            </w:r>
            <w:r w:rsidRPr="003E763A">
              <w:t xml:space="preserve"> adding all outcome scores in all domains, are rated </w:t>
            </w:r>
            <w:r w:rsidRPr="003E763A">
              <w:rPr>
                <w:b/>
                <w:color w:val="C00000"/>
              </w:rPr>
              <w:t>Undeveloped</w:t>
            </w:r>
            <w:r w:rsidRPr="003E763A">
              <w:t xml:space="preserve"> </w:t>
            </w:r>
          </w:p>
        </w:tc>
      </w:tr>
      <w:tr w:rsidR="003E763A" w:rsidRPr="003E763A" w14:paraId="4349871C" w14:textId="77777777" w:rsidTr="000214BB">
        <w:trPr>
          <w:trHeight w:val="452"/>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F66B063" w14:textId="5FB4187E" w:rsidR="003E763A" w:rsidRPr="003E763A" w:rsidRDefault="003E763A" w:rsidP="003E763A">
            <w:r w:rsidRPr="003E763A">
              <w:rPr>
                <w:b/>
                <w:color w:val="BF8F00" w:themeColor="accent4" w:themeShade="BF"/>
              </w:rPr>
              <w:t>Developing activity</w:t>
            </w:r>
            <w:r w:rsidRPr="003E763A">
              <w:t xml:space="preserve"> – </w:t>
            </w:r>
            <w:r w:rsidRPr="003E763A">
              <w:rPr>
                <w:b/>
              </w:rPr>
              <w:t xml:space="preserve">organisations score 1 </w:t>
            </w:r>
            <w:r w:rsidRPr="00DB5AEF">
              <w:rPr>
                <w:b/>
                <w:bCs/>
              </w:rPr>
              <w:t>for each outcome</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18981E8" w14:textId="77777777" w:rsidR="003E763A" w:rsidRPr="003E763A" w:rsidRDefault="003E763A" w:rsidP="003E763A">
            <w:r w:rsidRPr="003E763A">
              <w:t xml:space="preserve">Those who score </w:t>
            </w:r>
            <w:r w:rsidRPr="003E763A">
              <w:rPr>
                <w:b/>
              </w:rPr>
              <w:t>between 8 and 21,</w:t>
            </w:r>
            <w:r w:rsidRPr="003E763A">
              <w:t xml:space="preserve"> adding all outcome scores in all domains, are rated </w:t>
            </w:r>
            <w:r w:rsidRPr="003E763A">
              <w:rPr>
                <w:b/>
                <w:color w:val="BF8F00" w:themeColor="accent4" w:themeShade="BF"/>
              </w:rPr>
              <w:t>Developing</w:t>
            </w:r>
          </w:p>
        </w:tc>
      </w:tr>
      <w:tr w:rsidR="003E763A" w:rsidRPr="003E763A" w14:paraId="7B5265AF" w14:textId="77777777" w:rsidTr="000214BB">
        <w:trPr>
          <w:trHeight w:val="603"/>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6D11150" w14:textId="1B1C86F2" w:rsidR="003E763A" w:rsidRPr="003E763A" w:rsidRDefault="003E763A" w:rsidP="003E763A">
            <w:r w:rsidRPr="003E763A">
              <w:rPr>
                <w:b/>
                <w:color w:val="00B050"/>
              </w:rPr>
              <w:t>Achieving activity</w:t>
            </w:r>
            <w:r w:rsidRPr="003E763A">
              <w:t xml:space="preserve"> – </w:t>
            </w:r>
            <w:r w:rsidRPr="003E763A">
              <w:rPr>
                <w:b/>
              </w:rPr>
              <w:t xml:space="preserve">organisations score 2 </w:t>
            </w:r>
            <w:r w:rsidRPr="00DB5AEF">
              <w:rPr>
                <w:b/>
                <w:bCs/>
              </w:rPr>
              <w:t>for each outcome</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D922997" w14:textId="77777777" w:rsidR="003E763A" w:rsidRPr="003E763A" w:rsidRDefault="003E763A" w:rsidP="003E763A">
            <w:r w:rsidRPr="003E763A">
              <w:t xml:space="preserve">Those who score </w:t>
            </w:r>
            <w:r w:rsidRPr="003E763A">
              <w:rPr>
                <w:b/>
              </w:rPr>
              <w:t>between 22 and 32,</w:t>
            </w:r>
            <w:r w:rsidRPr="003E763A">
              <w:t xml:space="preserve"> adding all outcome scores in all domains, are rated</w:t>
            </w:r>
            <w:r w:rsidRPr="003E763A">
              <w:rPr>
                <w:b/>
                <w:color w:val="7030A0"/>
              </w:rPr>
              <w:t xml:space="preserve"> </w:t>
            </w:r>
            <w:r w:rsidRPr="003E763A">
              <w:rPr>
                <w:b/>
                <w:color w:val="00B050"/>
              </w:rPr>
              <w:t>Achieving</w:t>
            </w:r>
          </w:p>
        </w:tc>
      </w:tr>
      <w:tr w:rsidR="003E763A" w:rsidRPr="003E763A" w14:paraId="5920FA0A" w14:textId="77777777" w:rsidTr="000214BB">
        <w:trPr>
          <w:trHeight w:val="445"/>
        </w:trPr>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313F6FE" w14:textId="7BE23DA7" w:rsidR="003E763A" w:rsidRPr="003E763A" w:rsidRDefault="003E763A" w:rsidP="003E763A">
            <w:r w:rsidRPr="003E763A">
              <w:rPr>
                <w:b/>
                <w:color w:val="7030A0"/>
              </w:rPr>
              <w:t>Excelling activity</w:t>
            </w:r>
            <w:r w:rsidRPr="003E763A">
              <w:t xml:space="preserve"> – </w:t>
            </w:r>
            <w:r w:rsidRPr="003E763A">
              <w:rPr>
                <w:b/>
              </w:rPr>
              <w:t xml:space="preserve">organisations score 3 </w:t>
            </w:r>
            <w:r w:rsidRPr="00DB5AEF">
              <w:rPr>
                <w:b/>
                <w:bCs/>
              </w:rPr>
              <w:t xml:space="preserve">for </w:t>
            </w:r>
            <w:r w:rsidR="00DB5AEF">
              <w:rPr>
                <w:b/>
                <w:bCs/>
              </w:rPr>
              <w:t xml:space="preserve">most </w:t>
            </w:r>
            <w:r w:rsidRPr="00DB5AEF">
              <w:rPr>
                <w:b/>
                <w:bCs/>
              </w:rPr>
              <w:t>outcome</w:t>
            </w:r>
            <w:r w:rsidR="00DB5AEF">
              <w:rPr>
                <w:b/>
                <w:bCs/>
              </w:rPr>
              <w:t>s</w:t>
            </w:r>
          </w:p>
        </w:tc>
        <w:tc>
          <w:tcPr>
            <w:tcW w:w="67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FF73109" w14:textId="77777777" w:rsidR="003E763A" w:rsidRPr="003E763A" w:rsidRDefault="003E763A" w:rsidP="003E763A">
            <w:r w:rsidRPr="003E763A">
              <w:t xml:space="preserve">Those who score </w:t>
            </w:r>
            <w:r w:rsidRPr="003E763A">
              <w:rPr>
                <w:b/>
              </w:rPr>
              <w:t>33,</w:t>
            </w:r>
            <w:r w:rsidRPr="003E763A">
              <w:t xml:space="preserve"> adding all outcome scores in all domains, are rated</w:t>
            </w:r>
            <w:r w:rsidRPr="003E763A">
              <w:rPr>
                <w:b/>
                <w:color w:val="7030A0"/>
              </w:rPr>
              <w:t xml:space="preserve"> Excelling</w:t>
            </w:r>
          </w:p>
        </w:tc>
      </w:tr>
    </w:tbl>
    <w:p w14:paraId="61252E51" w14:textId="77777777" w:rsidR="003E763A" w:rsidRPr="003E763A" w:rsidRDefault="003E763A" w:rsidP="003E763A">
      <w:pPr>
        <w:jc w:val="center"/>
        <w:rPr>
          <w:b/>
          <w:sz w:val="28"/>
          <w:szCs w:val="28"/>
        </w:rPr>
      </w:pPr>
    </w:p>
    <w:p w14:paraId="6A6ECDB6" w14:textId="77777777" w:rsidR="003E763A" w:rsidRPr="003E763A" w:rsidRDefault="003E763A" w:rsidP="003E763A">
      <w:pPr>
        <w:jc w:val="center"/>
        <w:rPr>
          <w:b/>
          <w:sz w:val="28"/>
          <w:szCs w:val="28"/>
        </w:rPr>
      </w:pPr>
    </w:p>
    <w:p w14:paraId="00EF6FD9" w14:textId="77777777" w:rsidR="003E763A" w:rsidRDefault="003E763A" w:rsidP="009B04FE">
      <w:pPr>
        <w:rPr>
          <w:b/>
          <w:sz w:val="28"/>
          <w:szCs w:val="28"/>
        </w:rPr>
      </w:pPr>
    </w:p>
    <w:p w14:paraId="030D9435" w14:textId="77777777" w:rsidR="003E763A" w:rsidRDefault="003E763A" w:rsidP="009B04FE">
      <w:pPr>
        <w:rPr>
          <w:b/>
          <w:sz w:val="28"/>
          <w:szCs w:val="28"/>
        </w:rPr>
      </w:pPr>
    </w:p>
    <w:p w14:paraId="213E4506" w14:textId="77777777" w:rsidR="003E763A" w:rsidRDefault="003E763A" w:rsidP="009B04FE">
      <w:pPr>
        <w:rPr>
          <w:b/>
          <w:sz w:val="28"/>
          <w:szCs w:val="28"/>
        </w:rPr>
      </w:pPr>
    </w:p>
    <w:tbl>
      <w:tblPr>
        <w:tblStyle w:val="TableGrid"/>
        <w:tblW w:w="0" w:type="auto"/>
        <w:tblInd w:w="-431" w:type="dxa"/>
        <w:tblLook w:val="04A0" w:firstRow="1" w:lastRow="0" w:firstColumn="1" w:lastColumn="0" w:noHBand="0" w:noVBand="1"/>
      </w:tblPr>
      <w:tblGrid>
        <w:gridCol w:w="1913"/>
        <w:gridCol w:w="3070"/>
        <w:gridCol w:w="6565"/>
        <w:gridCol w:w="1363"/>
        <w:gridCol w:w="2188"/>
      </w:tblGrid>
      <w:tr w:rsidR="003E763A" w14:paraId="53BC11BD" w14:textId="77777777" w:rsidTr="003E763A">
        <w:trPr>
          <w:tblHeader/>
        </w:trPr>
        <w:tc>
          <w:tcPr>
            <w:tcW w:w="1930" w:type="dxa"/>
            <w:shd w:val="clear" w:color="auto" w:fill="D9E2F3" w:themeFill="accent1" w:themeFillTint="33"/>
          </w:tcPr>
          <w:p w14:paraId="0BECA160" w14:textId="43CA67B6" w:rsidR="003E763A" w:rsidRDefault="003E763A" w:rsidP="001D2C8A">
            <w:pPr>
              <w:jc w:val="center"/>
              <w:rPr>
                <w:b/>
                <w:sz w:val="28"/>
                <w:szCs w:val="28"/>
              </w:rPr>
            </w:pPr>
            <w:bookmarkStart w:id="0" w:name="_Hlk126757866"/>
            <w:bookmarkStart w:id="1" w:name="_Hlk126757770"/>
            <w:r>
              <w:rPr>
                <w:b/>
                <w:sz w:val="28"/>
                <w:szCs w:val="28"/>
              </w:rPr>
              <w:lastRenderedPageBreak/>
              <w:t>Domain 3</w:t>
            </w:r>
          </w:p>
        </w:tc>
        <w:tc>
          <w:tcPr>
            <w:tcW w:w="3112" w:type="dxa"/>
            <w:shd w:val="clear" w:color="auto" w:fill="D9E2F3" w:themeFill="accent1" w:themeFillTint="33"/>
          </w:tcPr>
          <w:p w14:paraId="0FF78ABD" w14:textId="1C991174" w:rsidR="003E763A" w:rsidRDefault="003E763A" w:rsidP="001D2C8A">
            <w:pPr>
              <w:jc w:val="center"/>
              <w:rPr>
                <w:b/>
                <w:sz w:val="28"/>
                <w:szCs w:val="28"/>
              </w:rPr>
            </w:pPr>
            <w:r>
              <w:rPr>
                <w:b/>
                <w:sz w:val="28"/>
                <w:szCs w:val="28"/>
              </w:rPr>
              <w:t>Outcome</w:t>
            </w:r>
          </w:p>
        </w:tc>
        <w:tc>
          <w:tcPr>
            <w:tcW w:w="6724" w:type="dxa"/>
            <w:shd w:val="clear" w:color="auto" w:fill="D9E2F3" w:themeFill="accent1" w:themeFillTint="33"/>
          </w:tcPr>
          <w:p w14:paraId="2692243E" w14:textId="5BD410C1" w:rsidR="003E763A" w:rsidRDefault="003E763A" w:rsidP="001D2C8A">
            <w:pPr>
              <w:jc w:val="center"/>
              <w:rPr>
                <w:b/>
                <w:sz w:val="28"/>
                <w:szCs w:val="28"/>
              </w:rPr>
            </w:pPr>
            <w:r>
              <w:rPr>
                <w:b/>
                <w:sz w:val="28"/>
                <w:szCs w:val="28"/>
              </w:rPr>
              <w:t>Evidence</w:t>
            </w:r>
          </w:p>
        </w:tc>
        <w:tc>
          <w:tcPr>
            <w:tcW w:w="1134" w:type="dxa"/>
            <w:shd w:val="clear" w:color="auto" w:fill="D9E2F3" w:themeFill="accent1" w:themeFillTint="33"/>
          </w:tcPr>
          <w:p w14:paraId="0BD55F82" w14:textId="77777777" w:rsidR="00DB5AEF" w:rsidRDefault="00DB5AEF" w:rsidP="001D2C8A">
            <w:pPr>
              <w:jc w:val="center"/>
              <w:rPr>
                <w:b/>
                <w:sz w:val="28"/>
                <w:szCs w:val="28"/>
              </w:rPr>
            </w:pPr>
            <w:r>
              <w:rPr>
                <w:b/>
                <w:sz w:val="28"/>
                <w:szCs w:val="28"/>
              </w:rPr>
              <w:t>Score/</w:t>
            </w:r>
          </w:p>
          <w:p w14:paraId="4F851F1C" w14:textId="2BEF0667" w:rsidR="003E763A" w:rsidRDefault="003E763A" w:rsidP="001D2C8A">
            <w:pPr>
              <w:jc w:val="center"/>
              <w:rPr>
                <w:b/>
                <w:sz w:val="28"/>
                <w:szCs w:val="28"/>
              </w:rPr>
            </w:pPr>
            <w:r>
              <w:rPr>
                <w:b/>
                <w:sz w:val="28"/>
                <w:szCs w:val="28"/>
              </w:rPr>
              <w:t>Rating</w:t>
            </w:r>
          </w:p>
        </w:tc>
        <w:tc>
          <w:tcPr>
            <w:tcW w:w="2199" w:type="dxa"/>
            <w:shd w:val="clear" w:color="auto" w:fill="D9E2F3" w:themeFill="accent1" w:themeFillTint="33"/>
          </w:tcPr>
          <w:p w14:paraId="4107650A" w14:textId="58338EF8" w:rsidR="003E763A" w:rsidRDefault="003E763A" w:rsidP="001D2C8A">
            <w:pPr>
              <w:jc w:val="center"/>
              <w:rPr>
                <w:b/>
                <w:sz w:val="28"/>
                <w:szCs w:val="28"/>
              </w:rPr>
            </w:pPr>
            <w:r>
              <w:rPr>
                <w:b/>
                <w:sz w:val="28"/>
                <w:szCs w:val="28"/>
              </w:rPr>
              <w:t>Owner/Lead</w:t>
            </w:r>
          </w:p>
        </w:tc>
      </w:tr>
      <w:bookmarkEnd w:id="0"/>
      <w:tr w:rsidR="003E763A" w14:paraId="280A8D31" w14:textId="77777777" w:rsidTr="00C54442">
        <w:trPr>
          <w:trHeight w:val="688"/>
        </w:trPr>
        <w:tc>
          <w:tcPr>
            <w:tcW w:w="1930" w:type="dxa"/>
          </w:tcPr>
          <w:p w14:paraId="71016915" w14:textId="5483F0F9" w:rsidR="003E763A" w:rsidRPr="0026300D" w:rsidRDefault="003E763A" w:rsidP="001D2C8A">
            <w:pPr>
              <w:jc w:val="center"/>
              <w:rPr>
                <w:b/>
              </w:rPr>
            </w:pPr>
            <w:r w:rsidRPr="0026300D">
              <w:rPr>
                <w:b/>
              </w:rPr>
              <w:t xml:space="preserve">Inclusive Leadership </w:t>
            </w:r>
          </w:p>
        </w:tc>
        <w:tc>
          <w:tcPr>
            <w:tcW w:w="3112" w:type="dxa"/>
          </w:tcPr>
          <w:p w14:paraId="638DB454" w14:textId="2EA680B0" w:rsidR="003E763A" w:rsidRPr="006D3C81" w:rsidRDefault="003E763A" w:rsidP="006D3C81">
            <w:pPr>
              <w:jc w:val="center"/>
              <w:rPr>
                <w:b/>
              </w:rPr>
            </w:pPr>
            <w:r w:rsidRPr="006D3C81">
              <w:rPr>
                <w:b/>
              </w:rPr>
              <w:t>3A: Board members, system leaders (Band 9 and VSM) and those with line management responsibilities routinely demonstrate their understanding of, and commitment to equality and health inequalities</w:t>
            </w:r>
          </w:p>
          <w:p w14:paraId="5E293A45" w14:textId="6E0B8AEA" w:rsidR="003E763A" w:rsidRPr="004446CB" w:rsidRDefault="003E763A" w:rsidP="001D2C8A">
            <w:pPr>
              <w:jc w:val="center"/>
              <w:rPr>
                <w:b/>
              </w:rPr>
            </w:pPr>
          </w:p>
        </w:tc>
        <w:tc>
          <w:tcPr>
            <w:tcW w:w="6724" w:type="dxa"/>
          </w:tcPr>
          <w:p w14:paraId="25FE34AC" w14:textId="7049A74D" w:rsidR="00C54442" w:rsidRDefault="00B11C20" w:rsidP="00C54442">
            <w:pPr>
              <w:spacing w:after="160" w:line="259" w:lineRule="auto"/>
            </w:pPr>
            <w:r w:rsidRPr="00C54442">
              <w:t xml:space="preserve">The Trust has an Equality, Diversity and Inclusion (EDI) Strategic Group that is Chaired by the Executive Director of Organisational Development </w:t>
            </w:r>
            <w:r w:rsidR="00426993">
              <w:t xml:space="preserve">(OD) </w:t>
            </w:r>
            <w:r w:rsidRPr="00C54442">
              <w:t xml:space="preserve">and Human </w:t>
            </w:r>
            <w:proofErr w:type="gramStart"/>
            <w:r w:rsidRPr="00C54442">
              <w:t>Resources</w:t>
            </w:r>
            <w:proofErr w:type="gramEnd"/>
            <w:r w:rsidRPr="00C54442">
              <w:t xml:space="preserve"> and which reports into the Trust Board Workforce Committee. Membership includes Senior Leaders across different professions, including Nursing, Clinical, Staff Side Council, General Management, Human Resources and Staff Networks.  The Group meets bimonthly. With regards to patients, the Trust has a Patient Experience Sub-Committee that is Chaired by the Chief </w:t>
            </w:r>
            <w:proofErr w:type="gramStart"/>
            <w:r w:rsidRPr="00C54442">
              <w:t>Nurse</w:t>
            </w:r>
            <w:proofErr w:type="gramEnd"/>
            <w:r w:rsidRPr="00C54442">
              <w:t xml:space="preserve"> and which has an EDI standing agenda items. The Committee reports into the Trust Board Quality Assurance Group</w:t>
            </w:r>
            <w:r w:rsidR="00762F8C">
              <w:t xml:space="preserve"> and </w:t>
            </w:r>
            <w:r w:rsidRPr="00C54442">
              <w:t>includes membership from across Corporate Nursing, Patient Experience Team, Quality and Key Specialist Leads and meets bimonthly. The two EDI streams of work join and collaborate through the EDI Manager and Nurse Lead on EDI meeting monthly on a one-to-one basis.</w:t>
            </w:r>
            <w:r w:rsidR="00762F8C">
              <w:t xml:space="preserve"> In addition, there is the Health Inequalities and Public Health Group, which connects to the </w:t>
            </w:r>
            <w:r w:rsidR="00426993">
              <w:t>EDI agenda through EDI representation on their membership.</w:t>
            </w:r>
            <w:r w:rsidR="00C54442">
              <w:t xml:space="preserve"> Work is underway to embed actions affecting the workforce and patients that come out of the</w:t>
            </w:r>
            <w:r w:rsidR="00C54442" w:rsidRPr="003E671E">
              <w:t xml:space="preserve"> Core20PLUS5</w:t>
            </w:r>
            <w:r w:rsidR="00C54442">
              <w:t xml:space="preserve"> approach of the group. </w:t>
            </w:r>
          </w:p>
          <w:p w14:paraId="54A41960" w14:textId="77777777" w:rsidR="00DA6614" w:rsidRDefault="00DA6614" w:rsidP="00C54442">
            <w:pPr>
              <w:spacing w:after="160" w:line="259" w:lineRule="auto"/>
            </w:pPr>
          </w:p>
          <w:p w14:paraId="4A9130A3" w14:textId="252C0D12" w:rsidR="00CD5824" w:rsidRDefault="00C54442" w:rsidP="00C54442">
            <w:pPr>
              <w:spacing w:after="160" w:line="259" w:lineRule="auto"/>
            </w:pPr>
            <w:r>
              <w:t>Boa</w:t>
            </w:r>
            <w:r w:rsidR="00CD5824" w:rsidRPr="00BB733C">
              <w:t>rd Members and Senior Managers visibl</w:t>
            </w:r>
            <w:r w:rsidR="00762F8C">
              <w:t xml:space="preserve">y show their commitment to equality and health inequalities </w:t>
            </w:r>
            <w:r w:rsidR="00CD5824" w:rsidRPr="00BB733C">
              <w:t xml:space="preserve">across the </w:t>
            </w:r>
            <w:r w:rsidR="00762F8C">
              <w:t xml:space="preserve">Trust </w:t>
            </w:r>
            <w:r w:rsidR="00CD5824" w:rsidRPr="00BB733C">
              <w:t xml:space="preserve">through a series of formal and informal walkarounds where they </w:t>
            </w:r>
            <w:proofErr w:type="gramStart"/>
            <w:r w:rsidR="00CD5824" w:rsidRPr="00BB733C">
              <w:t>are able to</w:t>
            </w:r>
            <w:proofErr w:type="gramEnd"/>
            <w:r w:rsidR="00CD5824" w:rsidRPr="00BB733C">
              <w:t xml:space="preserve"> convey their commitment to Trust values ‘The Leeds Way’. Internal communications including </w:t>
            </w:r>
            <w:r w:rsidR="00CD5824" w:rsidRPr="00BB733C">
              <w:lastRenderedPageBreak/>
              <w:t>‘</w:t>
            </w:r>
            <w:r w:rsidR="00762F8C">
              <w:t xml:space="preserve">Our </w:t>
            </w:r>
            <w:r w:rsidR="00CD5824" w:rsidRPr="00BB733C">
              <w:t>Week’ bulletin provide examples and celebrate</w:t>
            </w:r>
            <w:r w:rsidR="00762F8C">
              <w:t>s</w:t>
            </w:r>
            <w:r w:rsidR="00CD5824" w:rsidRPr="00BB733C">
              <w:t xml:space="preserve"> success against care and behaviours in line with the values. One of the five values is to be ‘Fair’.</w:t>
            </w:r>
          </w:p>
          <w:p w14:paraId="0ED14BE5" w14:textId="77777777" w:rsidR="00CD5824" w:rsidRDefault="00CD5824" w:rsidP="00CD5824"/>
          <w:p w14:paraId="5D7722DD" w14:textId="4F2CDDC6" w:rsidR="00CD5824" w:rsidRDefault="00CD5824" w:rsidP="00CD5824">
            <w:r w:rsidRPr="00BB733C">
              <w:t>Board Members</w:t>
            </w:r>
            <w:r w:rsidR="00426993">
              <w:t xml:space="preserve">, system leaders and those with line management responsibility </w:t>
            </w:r>
            <w:r w:rsidRPr="00BB733C">
              <w:t xml:space="preserve">protect time and engage in Inclusive Conversations as a team to identify in a psychological and supportive space areas for improvement as a team in relation to inclusion specifically. </w:t>
            </w:r>
          </w:p>
          <w:p w14:paraId="46797CAF" w14:textId="77777777" w:rsidR="00426993" w:rsidRDefault="00426993" w:rsidP="00CD5824"/>
          <w:p w14:paraId="4321D28D" w14:textId="77777777" w:rsidR="00CD5824" w:rsidRDefault="00CD5824" w:rsidP="00CD5824">
            <w:r w:rsidRPr="00BB733C">
              <w:t>All new starters receive a welcome from the Chief Executive on their first day at LTHT who emphasises the importance of The Leeds Way and the Executive Director of Organisational Development and Human Resources brings alive the value to be Fair through sharing their own experience, encouraging all staff to take accountability and stretch their comfort zone, consciously and proactively removing blind spots we all have as human beings.</w:t>
            </w:r>
          </w:p>
          <w:p w14:paraId="5FE4CA17" w14:textId="77777777" w:rsidR="00CD5824" w:rsidRDefault="00CD5824" w:rsidP="00CD5824"/>
          <w:p w14:paraId="50566B14" w14:textId="77777777" w:rsidR="00CD5824" w:rsidRDefault="00CD5824" w:rsidP="00CD5824">
            <w:r w:rsidRPr="00BB733C">
              <w:t>Reciprocal Mentoring and</w:t>
            </w:r>
            <w:r w:rsidR="00426993">
              <w:t xml:space="preserve"> </w:t>
            </w:r>
            <w:r w:rsidRPr="00BB733C">
              <w:t>Staff Network Executive Sponsors</w:t>
            </w:r>
            <w:r w:rsidR="00426993">
              <w:t xml:space="preserve"> provide Board Members and system leaders with the opportunity to visibly show their commitment to EDI and to broaden their understanding.</w:t>
            </w:r>
          </w:p>
          <w:p w14:paraId="00602FCB" w14:textId="77777777" w:rsidR="00426993" w:rsidRDefault="00426993" w:rsidP="00CD5824">
            <w:pPr>
              <w:rPr>
                <w:b/>
              </w:rPr>
            </w:pPr>
          </w:p>
          <w:p w14:paraId="77DA71A0" w14:textId="20DB95E5" w:rsidR="001D4DB1" w:rsidRDefault="001D4DB1" w:rsidP="00426993">
            <w:pPr>
              <w:spacing w:after="160" w:line="259" w:lineRule="auto"/>
              <w:contextualSpacing/>
            </w:pPr>
            <w:r>
              <w:t xml:space="preserve">The Trust Chair and Executives have considered the NHSE EDI Improvement Plan and are in the process of setting individual EDI objectives. </w:t>
            </w:r>
          </w:p>
          <w:p w14:paraId="2312279E" w14:textId="77777777" w:rsidR="001D4DB1" w:rsidRDefault="001D4DB1" w:rsidP="00426993">
            <w:pPr>
              <w:spacing w:after="160" w:line="259" w:lineRule="auto"/>
              <w:contextualSpacing/>
              <w:rPr>
                <w:rFonts w:eastAsiaTheme="minorHAnsi"/>
                <w:lang w:eastAsia="en-US"/>
              </w:rPr>
            </w:pPr>
          </w:p>
          <w:p w14:paraId="1741B1EC" w14:textId="60715BC5" w:rsidR="00426993" w:rsidRPr="00426993" w:rsidRDefault="00426993" w:rsidP="00426993">
            <w:pPr>
              <w:spacing w:after="160" w:line="259" w:lineRule="auto"/>
              <w:contextualSpacing/>
              <w:rPr>
                <w:rFonts w:eastAsiaTheme="minorHAnsi"/>
                <w:lang w:eastAsia="en-US"/>
              </w:rPr>
            </w:pPr>
            <w:r w:rsidRPr="00C54442">
              <w:rPr>
                <w:rFonts w:eastAsiaTheme="minorHAnsi"/>
                <w:lang w:eastAsia="en-US"/>
              </w:rPr>
              <w:t>O</w:t>
            </w:r>
            <w:r w:rsidRPr="00426993">
              <w:rPr>
                <w:rFonts w:eastAsiaTheme="minorHAnsi"/>
                <w:lang w:eastAsia="en-US"/>
              </w:rPr>
              <w:t>pportunities for staff to navigate good people management fundamentals</w:t>
            </w:r>
            <w:r w:rsidRPr="00C54442">
              <w:rPr>
                <w:rFonts w:eastAsiaTheme="minorHAnsi"/>
                <w:lang w:eastAsia="en-US"/>
              </w:rPr>
              <w:t xml:space="preserve"> have been created</w:t>
            </w:r>
            <w:r w:rsidRPr="00426993">
              <w:rPr>
                <w:rFonts w:eastAsiaTheme="minorHAnsi"/>
                <w:lang w:eastAsia="en-US"/>
              </w:rPr>
              <w:t xml:space="preserve">, where </w:t>
            </w:r>
            <w:r w:rsidRPr="00426993">
              <w:rPr>
                <w:rFonts w:eastAsiaTheme="minorHAnsi"/>
                <w:lang w:eastAsia="en-US"/>
              </w:rPr>
              <w:lastRenderedPageBreak/>
              <w:t>behaviours are addressed and challenged in line with the Leeds Way Values including:</w:t>
            </w:r>
          </w:p>
          <w:p w14:paraId="4E5361BB" w14:textId="77777777" w:rsidR="00426993" w:rsidRPr="00C54442" w:rsidRDefault="00426993" w:rsidP="00C54442">
            <w:pPr>
              <w:pStyle w:val="ListParagraph"/>
              <w:numPr>
                <w:ilvl w:val="0"/>
                <w:numId w:val="12"/>
              </w:numPr>
              <w:spacing w:after="160" w:line="259" w:lineRule="auto"/>
              <w:rPr>
                <w:rFonts w:ascii="Arial" w:eastAsiaTheme="minorHAnsi" w:hAnsi="Arial" w:cs="Arial"/>
                <w:sz w:val="24"/>
                <w:szCs w:val="24"/>
              </w:rPr>
            </w:pPr>
            <w:r w:rsidRPr="00C54442">
              <w:rPr>
                <w:rFonts w:ascii="Arial" w:eastAsiaTheme="minorHAnsi" w:hAnsi="Arial" w:cs="Arial"/>
                <w:sz w:val="24"/>
                <w:szCs w:val="24"/>
              </w:rPr>
              <w:t>Management Fundamentals Toolkit</w:t>
            </w:r>
          </w:p>
          <w:p w14:paraId="6FD92935" w14:textId="4A65FCA7" w:rsidR="00426993" w:rsidRPr="00C54442" w:rsidRDefault="00426993" w:rsidP="00C54442">
            <w:pPr>
              <w:pStyle w:val="ListParagraph"/>
              <w:numPr>
                <w:ilvl w:val="0"/>
                <w:numId w:val="12"/>
              </w:numPr>
              <w:spacing w:after="160" w:line="259" w:lineRule="auto"/>
              <w:rPr>
                <w:rFonts w:ascii="Arial" w:eastAsiaTheme="minorHAnsi" w:hAnsi="Arial" w:cs="Arial"/>
                <w:sz w:val="24"/>
                <w:szCs w:val="24"/>
              </w:rPr>
            </w:pPr>
            <w:r w:rsidRPr="00C54442">
              <w:rPr>
                <w:rFonts w:ascii="Arial" w:eastAsiaTheme="minorHAnsi" w:hAnsi="Arial" w:cs="Arial"/>
                <w:sz w:val="24"/>
                <w:szCs w:val="24"/>
              </w:rPr>
              <w:t>Kindness and Civility Toolkit</w:t>
            </w:r>
          </w:p>
          <w:p w14:paraId="53A383BA" w14:textId="77777777" w:rsidR="00C54442" w:rsidRPr="00C54442" w:rsidRDefault="00C54442" w:rsidP="00C54442">
            <w:pPr>
              <w:pStyle w:val="ListParagraph"/>
              <w:numPr>
                <w:ilvl w:val="0"/>
                <w:numId w:val="12"/>
              </w:numPr>
              <w:spacing w:after="160" w:line="259" w:lineRule="auto"/>
              <w:rPr>
                <w:rFonts w:ascii="Arial" w:hAnsi="Arial" w:cs="Arial"/>
                <w:sz w:val="24"/>
                <w:szCs w:val="24"/>
              </w:rPr>
            </w:pPr>
            <w:r w:rsidRPr="00C54442">
              <w:rPr>
                <w:rFonts w:ascii="Arial" w:hAnsi="Arial" w:cs="Arial"/>
                <w:sz w:val="24"/>
                <w:szCs w:val="24"/>
              </w:rPr>
              <w:t xml:space="preserve">Health &amp; Wellbeing Conversations </w:t>
            </w:r>
          </w:p>
          <w:p w14:paraId="6EAD5BC7" w14:textId="16112BF5" w:rsidR="00426993" w:rsidRDefault="00C54442" w:rsidP="00C54442">
            <w:pPr>
              <w:pStyle w:val="ListParagraph"/>
              <w:numPr>
                <w:ilvl w:val="0"/>
                <w:numId w:val="12"/>
              </w:numPr>
              <w:spacing w:after="160" w:line="259" w:lineRule="auto"/>
              <w:rPr>
                <w:b/>
                <w:sz w:val="28"/>
                <w:szCs w:val="28"/>
              </w:rPr>
            </w:pPr>
            <w:r w:rsidRPr="00C54442">
              <w:rPr>
                <w:rFonts w:ascii="Arial" w:hAnsi="Arial" w:cs="Arial"/>
                <w:sz w:val="24"/>
                <w:szCs w:val="24"/>
              </w:rPr>
              <w:t xml:space="preserve">Inclusive Conversations </w:t>
            </w:r>
          </w:p>
        </w:tc>
        <w:tc>
          <w:tcPr>
            <w:tcW w:w="1134" w:type="dxa"/>
          </w:tcPr>
          <w:p w14:paraId="552370D7" w14:textId="77777777" w:rsidR="003E763A" w:rsidRDefault="001D4DB1" w:rsidP="001D2C8A">
            <w:pPr>
              <w:jc w:val="center"/>
              <w:rPr>
                <w:b/>
                <w:sz w:val="28"/>
                <w:szCs w:val="28"/>
              </w:rPr>
            </w:pPr>
            <w:r>
              <w:rPr>
                <w:b/>
                <w:sz w:val="28"/>
                <w:szCs w:val="28"/>
              </w:rPr>
              <w:lastRenderedPageBreak/>
              <w:t>2</w:t>
            </w:r>
          </w:p>
          <w:p w14:paraId="0BA6E505" w14:textId="4BACD26E" w:rsidR="00DB5AEF" w:rsidRDefault="00DB5AEF" w:rsidP="001D2C8A">
            <w:pPr>
              <w:jc w:val="center"/>
              <w:rPr>
                <w:b/>
                <w:sz w:val="28"/>
                <w:szCs w:val="28"/>
              </w:rPr>
            </w:pPr>
            <w:r w:rsidRPr="003E763A">
              <w:rPr>
                <w:b/>
                <w:color w:val="00B050"/>
              </w:rPr>
              <w:t>Achieving</w:t>
            </w:r>
          </w:p>
        </w:tc>
        <w:tc>
          <w:tcPr>
            <w:tcW w:w="2199" w:type="dxa"/>
          </w:tcPr>
          <w:p w14:paraId="2FB971C6" w14:textId="77777777" w:rsidR="003E763A" w:rsidRPr="00DA6614" w:rsidRDefault="001D4DB1" w:rsidP="001D2C8A">
            <w:pPr>
              <w:jc w:val="center"/>
              <w:rPr>
                <w:b/>
              </w:rPr>
            </w:pPr>
            <w:r w:rsidRPr="00DA6614">
              <w:rPr>
                <w:b/>
              </w:rPr>
              <w:t xml:space="preserve">Head of HR – Organisational Development and Culture </w:t>
            </w:r>
          </w:p>
          <w:p w14:paraId="791F4436" w14:textId="77777777" w:rsidR="001D4DB1" w:rsidRPr="00DA6614" w:rsidRDefault="001D4DB1" w:rsidP="001D2C8A">
            <w:pPr>
              <w:jc w:val="center"/>
              <w:rPr>
                <w:b/>
              </w:rPr>
            </w:pPr>
          </w:p>
          <w:p w14:paraId="1CACB0E2" w14:textId="259929D8" w:rsidR="001D4DB1" w:rsidRDefault="001D4DB1" w:rsidP="001D2C8A">
            <w:pPr>
              <w:jc w:val="center"/>
              <w:rPr>
                <w:b/>
                <w:sz w:val="28"/>
                <w:szCs w:val="28"/>
              </w:rPr>
            </w:pPr>
            <w:r w:rsidRPr="00DA6614">
              <w:rPr>
                <w:b/>
              </w:rPr>
              <w:t>LTHT Public Health Consultant</w:t>
            </w:r>
            <w:r>
              <w:rPr>
                <w:b/>
                <w:sz w:val="28"/>
                <w:szCs w:val="28"/>
              </w:rPr>
              <w:t xml:space="preserve"> </w:t>
            </w:r>
          </w:p>
        </w:tc>
      </w:tr>
      <w:bookmarkEnd w:id="1"/>
    </w:tbl>
    <w:p w14:paraId="7BEB142D" w14:textId="77777777" w:rsidR="003E763A" w:rsidRDefault="003E763A" w:rsidP="001D2C8A">
      <w:pPr>
        <w:jc w:val="center"/>
        <w:rPr>
          <w:b/>
          <w:sz w:val="28"/>
          <w:szCs w:val="28"/>
        </w:rPr>
      </w:pPr>
    </w:p>
    <w:tbl>
      <w:tblPr>
        <w:tblStyle w:val="TableGrid"/>
        <w:tblW w:w="15027" w:type="dxa"/>
        <w:tblInd w:w="-431" w:type="dxa"/>
        <w:tblLook w:val="04A0" w:firstRow="1" w:lastRow="0" w:firstColumn="1" w:lastColumn="0" w:noHBand="0" w:noVBand="1"/>
      </w:tblPr>
      <w:tblGrid>
        <w:gridCol w:w="1983"/>
        <w:gridCol w:w="3088"/>
        <w:gridCol w:w="6448"/>
        <w:gridCol w:w="1363"/>
        <w:gridCol w:w="2145"/>
      </w:tblGrid>
      <w:tr w:rsidR="009B04FE" w14:paraId="7A316715" w14:textId="77777777" w:rsidTr="00DB5AEF">
        <w:trPr>
          <w:trHeight w:val="368"/>
          <w:tblHeader/>
        </w:trPr>
        <w:tc>
          <w:tcPr>
            <w:tcW w:w="1983" w:type="dxa"/>
            <w:shd w:val="clear" w:color="auto" w:fill="D9E2F3" w:themeFill="accent1" w:themeFillTint="33"/>
          </w:tcPr>
          <w:p w14:paraId="6DC92D5A" w14:textId="5B9E96E3" w:rsidR="009B04FE" w:rsidRDefault="009B04FE" w:rsidP="009B04FE">
            <w:pPr>
              <w:jc w:val="center"/>
              <w:rPr>
                <w:b/>
                <w:sz w:val="28"/>
                <w:szCs w:val="28"/>
              </w:rPr>
            </w:pPr>
            <w:bookmarkStart w:id="2" w:name="_Hlk126758058"/>
            <w:r>
              <w:rPr>
                <w:b/>
                <w:sz w:val="28"/>
                <w:szCs w:val="28"/>
              </w:rPr>
              <w:t xml:space="preserve">Domain </w:t>
            </w:r>
            <w:r w:rsidR="006D3C81">
              <w:rPr>
                <w:b/>
                <w:sz w:val="28"/>
                <w:szCs w:val="28"/>
              </w:rPr>
              <w:t>3</w:t>
            </w:r>
          </w:p>
        </w:tc>
        <w:tc>
          <w:tcPr>
            <w:tcW w:w="3088" w:type="dxa"/>
            <w:shd w:val="clear" w:color="auto" w:fill="D9E2F3" w:themeFill="accent1" w:themeFillTint="33"/>
          </w:tcPr>
          <w:p w14:paraId="7FBFC1CB" w14:textId="6E6F1B3D" w:rsidR="009B04FE" w:rsidRDefault="009B04FE" w:rsidP="009B04FE">
            <w:pPr>
              <w:jc w:val="center"/>
              <w:rPr>
                <w:b/>
                <w:sz w:val="28"/>
                <w:szCs w:val="28"/>
              </w:rPr>
            </w:pPr>
            <w:r>
              <w:rPr>
                <w:b/>
                <w:sz w:val="28"/>
                <w:szCs w:val="28"/>
              </w:rPr>
              <w:t>Outcome</w:t>
            </w:r>
          </w:p>
        </w:tc>
        <w:tc>
          <w:tcPr>
            <w:tcW w:w="6448" w:type="dxa"/>
            <w:shd w:val="clear" w:color="auto" w:fill="D9E2F3" w:themeFill="accent1" w:themeFillTint="33"/>
          </w:tcPr>
          <w:p w14:paraId="7A7A83DA" w14:textId="3774E3A1" w:rsidR="009B04FE" w:rsidRDefault="009B04FE" w:rsidP="009B04FE">
            <w:pPr>
              <w:jc w:val="center"/>
              <w:rPr>
                <w:b/>
                <w:sz w:val="28"/>
                <w:szCs w:val="28"/>
              </w:rPr>
            </w:pPr>
            <w:r>
              <w:rPr>
                <w:b/>
                <w:sz w:val="28"/>
                <w:szCs w:val="28"/>
              </w:rPr>
              <w:t>Evidence</w:t>
            </w:r>
          </w:p>
        </w:tc>
        <w:tc>
          <w:tcPr>
            <w:tcW w:w="1363" w:type="dxa"/>
            <w:shd w:val="clear" w:color="auto" w:fill="D9E2F3" w:themeFill="accent1" w:themeFillTint="33"/>
          </w:tcPr>
          <w:p w14:paraId="4B74BE64" w14:textId="77777777" w:rsidR="00DB5AEF" w:rsidRDefault="00DB5AEF" w:rsidP="009B04FE">
            <w:pPr>
              <w:jc w:val="center"/>
              <w:rPr>
                <w:b/>
                <w:sz w:val="28"/>
                <w:szCs w:val="28"/>
              </w:rPr>
            </w:pPr>
            <w:r>
              <w:rPr>
                <w:b/>
                <w:sz w:val="28"/>
                <w:szCs w:val="28"/>
              </w:rPr>
              <w:t>Score/</w:t>
            </w:r>
          </w:p>
          <w:p w14:paraId="49212CD1" w14:textId="76238365" w:rsidR="009B04FE" w:rsidRDefault="009B04FE" w:rsidP="009B04FE">
            <w:pPr>
              <w:jc w:val="center"/>
              <w:rPr>
                <w:b/>
                <w:sz w:val="28"/>
                <w:szCs w:val="28"/>
              </w:rPr>
            </w:pPr>
            <w:r>
              <w:rPr>
                <w:b/>
                <w:sz w:val="28"/>
                <w:szCs w:val="28"/>
              </w:rPr>
              <w:t>Rating</w:t>
            </w:r>
          </w:p>
        </w:tc>
        <w:tc>
          <w:tcPr>
            <w:tcW w:w="2145" w:type="dxa"/>
            <w:shd w:val="clear" w:color="auto" w:fill="D9E2F3" w:themeFill="accent1" w:themeFillTint="33"/>
          </w:tcPr>
          <w:p w14:paraId="18C13A0D" w14:textId="25F64CBA" w:rsidR="009B04FE" w:rsidRDefault="009B04FE" w:rsidP="009B04FE">
            <w:pPr>
              <w:jc w:val="center"/>
              <w:rPr>
                <w:b/>
                <w:sz w:val="28"/>
                <w:szCs w:val="28"/>
              </w:rPr>
            </w:pPr>
            <w:r>
              <w:rPr>
                <w:b/>
                <w:sz w:val="28"/>
                <w:szCs w:val="28"/>
              </w:rPr>
              <w:t>Owner/Lead</w:t>
            </w:r>
          </w:p>
        </w:tc>
      </w:tr>
      <w:tr w:rsidR="009B04FE" w14:paraId="40C40D3B" w14:textId="77777777" w:rsidTr="00DB5AEF">
        <w:trPr>
          <w:trHeight w:val="1109"/>
        </w:trPr>
        <w:tc>
          <w:tcPr>
            <w:tcW w:w="1983" w:type="dxa"/>
          </w:tcPr>
          <w:p w14:paraId="25488FCB" w14:textId="77777777" w:rsidR="0026300D" w:rsidRDefault="0026300D" w:rsidP="0026300D">
            <w:pPr>
              <w:ind w:left="-678" w:firstLine="678"/>
              <w:jc w:val="center"/>
              <w:rPr>
                <w:b/>
              </w:rPr>
            </w:pPr>
            <w:r w:rsidRPr="0026300D">
              <w:rPr>
                <w:b/>
              </w:rPr>
              <w:t>Inclusive</w:t>
            </w:r>
          </w:p>
          <w:p w14:paraId="2A1F5B72" w14:textId="2ACA1306" w:rsidR="009B04FE" w:rsidRPr="0026300D" w:rsidRDefault="0026300D" w:rsidP="0026300D">
            <w:pPr>
              <w:ind w:left="-678" w:firstLine="678"/>
              <w:jc w:val="center"/>
              <w:rPr>
                <w:b/>
              </w:rPr>
            </w:pPr>
            <w:r>
              <w:rPr>
                <w:b/>
              </w:rPr>
              <w:t>L</w:t>
            </w:r>
            <w:r w:rsidRPr="0026300D">
              <w:rPr>
                <w:b/>
              </w:rPr>
              <w:t>eadership</w:t>
            </w:r>
          </w:p>
        </w:tc>
        <w:tc>
          <w:tcPr>
            <w:tcW w:w="3088" w:type="dxa"/>
          </w:tcPr>
          <w:p w14:paraId="544C93E7" w14:textId="0EC3EB93" w:rsidR="00936D95" w:rsidRPr="00036D00" w:rsidRDefault="00036D00" w:rsidP="009B04FE">
            <w:pPr>
              <w:jc w:val="center"/>
              <w:rPr>
                <w:b/>
              </w:rPr>
            </w:pPr>
            <w:r w:rsidRPr="00036D00">
              <w:rPr>
                <w:b/>
              </w:rPr>
              <w:t>3B: Board/Committee papers (including minutes) identify equality and health inequalities related impacts and risks and how they will be mitigated and managed</w:t>
            </w:r>
          </w:p>
        </w:tc>
        <w:tc>
          <w:tcPr>
            <w:tcW w:w="6448" w:type="dxa"/>
          </w:tcPr>
          <w:p w14:paraId="08E21185" w14:textId="77777777" w:rsidR="009B04FE" w:rsidRDefault="00CD5824" w:rsidP="00426993">
            <w:r w:rsidRPr="00BB733C">
              <w:t>Trust Board consideration and approval of comprehensive equality information on an annual basis, including key findings and key actions to address any inequalities identified.</w:t>
            </w:r>
          </w:p>
          <w:p w14:paraId="5F2E59F0" w14:textId="77777777" w:rsidR="00CD5824" w:rsidRDefault="00CD5824" w:rsidP="00426993"/>
          <w:p w14:paraId="19A89583" w14:textId="14D24F2A" w:rsidR="00CD5824" w:rsidRDefault="00CD5824" w:rsidP="00426993">
            <w:r w:rsidRPr="00BB733C">
              <w:t>All reports to the Trust Board and formal Committees follow a standard reporting template requesting confirmation that there has been due regard to equality and confirmation of equality impact assessment and outcomes.</w:t>
            </w:r>
          </w:p>
          <w:p w14:paraId="6333CA76" w14:textId="54EAEEA8" w:rsidR="00CD5824" w:rsidRDefault="00CD5824" w:rsidP="00426993"/>
          <w:p w14:paraId="53D2949F" w14:textId="7FE6FE0F" w:rsidR="00CD5824" w:rsidRDefault="00CD5824" w:rsidP="00426993">
            <w:r w:rsidRPr="00BB733C">
              <w:t xml:space="preserve">Due regard to equality is required for approval of all policies and procedures by the Policy, Procedure and Review Group, which has delegated authority from the Executive </w:t>
            </w:r>
            <w:proofErr w:type="gramStart"/>
            <w:r w:rsidRPr="00BB733C">
              <w:t>Team</w:t>
            </w:r>
            <w:proofErr w:type="gramEnd"/>
            <w:r w:rsidRPr="00BB733C">
              <w:t xml:space="preserve"> and which has membership including the EDI Manager. In organisational change projects involving staff, senior HR officers support line managers in undertaking their duty to prepare equality impact assessments on the proposed change and to then take this into consideration in implementing that change.</w:t>
            </w:r>
          </w:p>
          <w:p w14:paraId="5BAD874C" w14:textId="2B2C6692" w:rsidR="001D4DB1" w:rsidRDefault="001D4DB1" w:rsidP="00426993"/>
          <w:p w14:paraId="4E69ABB5" w14:textId="77777777" w:rsidR="001D4DB1" w:rsidRDefault="001D4DB1" w:rsidP="001D4DB1">
            <w:pPr>
              <w:rPr>
                <w:rFonts w:ascii="Calibri" w:hAnsi="Calibri" w:cs="Calibri"/>
                <w:sz w:val="22"/>
                <w:szCs w:val="22"/>
              </w:rPr>
            </w:pPr>
          </w:p>
          <w:p w14:paraId="46ED2255" w14:textId="2BEC774E" w:rsidR="001D4DB1" w:rsidRPr="001D4DB1" w:rsidRDefault="001D4DB1" w:rsidP="001D4DB1">
            <w:r>
              <w:t xml:space="preserve">Draft </w:t>
            </w:r>
            <w:r w:rsidRPr="001D4DB1">
              <w:t xml:space="preserve">Equality and Health Inequality Impact Assessment </w:t>
            </w:r>
            <w:r>
              <w:t xml:space="preserve">currently out for consultation, initially on </w:t>
            </w:r>
            <w:r w:rsidRPr="001D4DB1">
              <w:t xml:space="preserve">planning projects within </w:t>
            </w:r>
            <w:r w:rsidR="00DA6614">
              <w:t>the Trust, including:</w:t>
            </w:r>
          </w:p>
          <w:p w14:paraId="4B40B1FD" w14:textId="77777777" w:rsidR="00DA6614" w:rsidRPr="00DA6614" w:rsidRDefault="001D4DB1" w:rsidP="00DA6614">
            <w:pPr>
              <w:pStyle w:val="ListParagraph"/>
              <w:numPr>
                <w:ilvl w:val="0"/>
                <w:numId w:val="15"/>
              </w:numPr>
              <w:spacing w:after="160" w:line="252" w:lineRule="auto"/>
              <w:rPr>
                <w:rFonts w:ascii="Arial" w:hAnsi="Arial" w:cs="Arial"/>
                <w:sz w:val="24"/>
                <w:szCs w:val="24"/>
              </w:rPr>
            </w:pPr>
            <w:r w:rsidRPr="00DA6614">
              <w:rPr>
                <w:rFonts w:ascii="Arial" w:hAnsi="Arial" w:cs="Arial"/>
                <w:sz w:val="24"/>
                <w:szCs w:val="24"/>
              </w:rPr>
              <w:t>Service development business cases</w:t>
            </w:r>
          </w:p>
          <w:p w14:paraId="624EDA01" w14:textId="131AFA5D" w:rsidR="001D4DB1" w:rsidRPr="00DA6614" w:rsidRDefault="001D4DB1" w:rsidP="00DA6614">
            <w:pPr>
              <w:pStyle w:val="ListParagraph"/>
              <w:numPr>
                <w:ilvl w:val="0"/>
                <w:numId w:val="15"/>
              </w:numPr>
              <w:spacing w:after="160" w:line="252" w:lineRule="auto"/>
              <w:rPr>
                <w:rFonts w:ascii="Arial" w:hAnsi="Arial" w:cs="Arial"/>
                <w:sz w:val="24"/>
                <w:szCs w:val="24"/>
              </w:rPr>
            </w:pPr>
            <w:r w:rsidRPr="00DA6614">
              <w:rPr>
                <w:rFonts w:ascii="Arial" w:hAnsi="Arial" w:cs="Arial"/>
                <w:sz w:val="24"/>
                <w:szCs w:val="24"/>
              </w:rPr>
              <w:t>Operational transformation programmes</w:t>
            </w:r>
          </w:p>
          <w:p w14:paraId="060E30EF" w14:textId="77777777" w:rsidR="001D4DB1" w:rsidRPr="00DA6614" w:rsidRDefault="001D4DB1" w:rsidP="00DA6614">
            <w:pPr>
              <w:pStyle w:val="ListParagraph"/>
              <w:numPr>
                <w:ilvl w:val="0"/>
                <w:numId w:val="15"/>
              </w:numPr>
              <w:spacing w:after="160" w:line="252" w:lineRule="auto"/>
              <w:rPr>
                <w:rFonts w:ascii="Arial" w:hAnsi="Arial" w:cs="Arial"/>
                <w:sz w:val="24"/>
                <w:szCs w:val="24"/>
              </w:rPr>
            </w:pPr>
            <w:r w:rsidRPr="00DA6614">
              <w:rPr>
                <w:rFonts w:ascii="Arial" w:hAnsi="Arial" w:cs="Arial"/>
                <w:sz w:val="24"/>
                <w:szCs w:val="24"/>
              </w:rPr>
              <w:t xml:space="preserve">Clinical service strategies </w:t>
            </w:r>
          </w:p>
          <w:p w14:paraId="18D2E7C0" w14:textId="5BB01ABD" w:rsidR="00CD5824" w:rsidRPr="00DA6614" w:rsidRDefault="001D4DB1" w:rsidP="00DA6614">
            <w:pPr>
              <w:pStyle w:val="ListParagraph"/>
              <w:numPr>
                <w:ilvl w:val="0"/>
                <w:numId w:val="15"/>
              </w:numPr>
              <w:spacing w:after="160" w:line="252" w:lineRule="auto"/>
              <w:rPr>
                <w:b/>
                <w:sz w:val="28"/>
                <w:szCs w:val="28"/>
              </w:rPr>
            </w:pPr>
            <w:r w:rsidRPr="00DA6614">
              <w:rPr>
                <w:rFonts w:ascii="Arial" w:hAnsi="Arial" w:cs="Arial"/>
                <w:sz w:val="24"/>
                <w:szCs w:val="24"/>
              </w:rPr>
              <w:t>Proposed patient facing digital innovations</w:t>
            </w:r>
          </w:p>
        </w:tc>
        <w:tc>
          <w:tcPr>
            <w:tcW w:w="1363" w:type="dxa"/>
          </w:tcPr>
          <w:p w14:paraId="3635670D" w14:textId="77777777" w:rsidR="009B04FE" w:rsidRDefault="00F3276B" w:rsidP="009B04FE">
            <w:pPr>
              <w:jc w:val="center"/>
              <w:rPr>
                <w:b/>
                <w:sz w:val="28"/>
                <w:szCs w:val="28"/>
              </w:rPr>
            </w:pPr>
            <w:r>
              <w:rPr>
                <w:b/>
                <w:sz w:val="28"/>
                <w:szCs w:val="28"/>
              </w:rPr>
              <w:lastRenderedPageBreak/>
              <w:t>2</w:t>
            </w:r>
          </w:p>
          <w:p w14:paraId="6E117AA0" w14:textId="1FB0B853" w:rsidR="00DB5AEF" w:rsidRDefault="00DB5AEF" w:rsidP="009B04FE">
            <w:pPr>
              <w:jc w:val="center"/>
              <w:rPr>
                <w:b/>
                <w:sz w:val="28"/>
                <w:szCs w:val="28"/>
              </w:rPr>
            </w:pPr>
            <w:r w:rsidRPr="003E763A">
              <w:rPr>
                <w:b/>
                <w:color w:val="00B050"/>
              </w:rPr>
              <w:t>Achieving</w:t>
            </w:r>
          </w:p>
        </w:tc>
        <w:tc>
          <w:tcPr>
            <w:tcW w:w="2145" w:type="dxa"/>
          </w:tcPr>
          <w:p w14:paraId="366E6100" w14:textId="77777777" w:rsidR="00DA6614" w:rsidRPr="00DA6614" w:rsidRDefault="00DA6614" w:rsidP="00DA6614">
            <w:pPr>
              <w:jc w:val="center"/>
              <w:rPr>
                <w:b/>
              </w:rPr>
            </w:pPr>
            <w:r w:rsidRPr="00DA6614">
              <w:rPr>
                <w:b/>
              </w:rPr>
              <w:t xml:space="preserve">Head of HR – Organisational Development and Culture </w:t>
            </w:r>
          </w:p>
          <w:p w14:paraId="438C10C5" w14:textId="77777777" w:rsidR="00DA6614" w:rsidRPr="00DA6614" w:rsidRDefault="00DA6614" w:rsidP="00DA6614">
            <w:pPr>
              <w:jc w:val="center"/>
              <w:rPr>
                <w:b/>
              </w:rPr>
            </w:pPr>
          </w:p>
          <w:p w14:paraId="2F9A5013" w14:textId="6F6C3240" w:rsidR="009B04FE" w:rsidRDefault="00DA6614" w:rsidP="00DA6614">
            <w:pPr>
              <w:jc w:val="center"/>
              <w:rPr>
                <w:b/>
                <w:sz w:val="28"/>
                <w:szCs w:val="28"/>
              </w:rPr>
            </w:pPr>
            <w:r w:rsidRPr="00DA6614">
              <w:rPr>
                <w:b/>
              </w:rPr>
              <w:t>LTHT Public Health Consultant</w:t>
            </w:r>
          </w:p>
        </w:tc>
      </w:tr>
      <w:bookmarkEnd w:id="2"/>
    </w:tbl>
    <w:p w14:paraId="3B465932" w14:textId="5D7D1389" w:rsidR="00F74187" w:rsidRDefault="00F74187" w:rsidP="001D2C8A">
      <w:pPr>
        <w:jc w:val="center"/>
        <w:rPr>
          <w:b/>
          <w:sz w:val="28"/>
          <w:szCs w:val="28"/>
        </w:rPr>
      </w:pPr>
    </w:p>
    <w:tbl>
      <w:tblPr>
        <w:tblStyle w:val="TableGrid"/>
        <w:tblW w:w="15027" w:type="dxa"/>
        <w:tblInd w:w="-431" w:type="dxa"/>
        <w:tblLook w:val="04A0" w:firstRow="1" w:lastRow="0" w:firstColumn="1" w:lastColumn="0" w:noHBand="0" w:noVBand="1"/>
      </w:tblPr>
      <w:tblGrid>
        <w:gridCol w:w="1993"/>
        <w:gridCol w:w="3281"/>
        <w:gridCol w:w="6209"/>
        <w:gridCol w:w="1394"/>
        <w:gridCol w:w="2150"/>
      </w:tblGrid>
      <w:tr w:rsidR="009B04FE" w14:paraId="3E6CD2E6" w14:textId="77777777" w:rsidTr="00DB5AEF">
        <w:trPr>
          <w:trHeight w:val="368"/>
          <w:tblHeader/>
        </w:trPr>
        <w:tc>
          <w:tcPr>
            <w:tcW w:w="1993" w:type="dxa"/>
            <w:shd w:val="clear" w:color="auto" w:fill="D9E2F3" w:themeFill="accent1" w:themeFillTint="33"/>
          </w:tcPr>
          <w:p w14:paraId="121A6A1B" w14:textId="60D5F12B" w:rsidR="009B04FE" w:rsidRDefault="009B04FE" w:rsidP="008110B4">
            <w:pPr>
              <w:jc w:val="center"/>
              <w:rPr>
                <w:b/>
                <w:sz w:val="28"/>
                <w:szCs w:val="28"/>
              </w:rPr>
            </w:pPr>
            <w:bookmarkStart w:id="3" w:name="_Hlk126758087"/>
            <w:r>
              <w:rPr>
                <w:b/>
                <w:sz w:val="28"/>
                <w:szCs w:val="28"/>
              </w:rPr>
              <w:t xml:space="preserve">Domain </w:t>
            </w:r>
            <w:r w:rsidR="006D3C81">
              <w:rPr>
                <w:b/>
                <w:sz w:val="28"/>
                <w:szCs w:val="28"/>
              </w:rPr>
              <w:t>3</w:t>
            </w:r>
          </w:p>
        </w:tc>
        <w:tc>
          <w:tcPr>
            <w:tcW w:w="3281" w:type="dxa"/>
            <w:shd w:val="clear" w:color="auto" w:fill="D9E2F3" w:themeFill="accent1" w:themeFillTint="33"/>
          </w:tcPr>
          <w:p w14:paraId="1A6558F7" w14:textId="77777777" w:rsidR="009B04FE" w:rsidRDefault="009B04FE" w:rsidP="008110B4">
            <w:pPr>
              <w:jc w:val="center"/>
              <w:rPr>
                <w:b/>
                <w:sz w:val="28"/>
                <w:szCs w:val="28"/>
              </w:rPr>
            </w:pPr>
            <w:r>
              <w:rPr>
                <w:b/>
                <w:sz w:val="28"/>
                <w:szCs w:val="28"/>
              </w:rPr>
              <w:t>Outcome</w:t>
            </w:r>
          </w:p>
        </w:tc>
        <w:tc>
          <w:tcPr>
            <w:tcW w:w="6209" w:type="dxa"/>
            <w:shd w:val="clear" w:color="auto" w:fill="D9E2F3" w:themeFill="accent1" w:themeFillTint="33"/>
          </w:tcPr>
          <w:p w14:paraId="3D12B653" w14:textId="77777777" w:rsidR="009B04FE" w:rsidRDefault="009B04FE" w:rsidP="008110B4">
            <w:pPr>
              <w:jc w:val="center"/>
              <w:rPr>
                <w:b/>
                <w:sz w:val="28"/>
                <w:szCs w:val="28"/>
              </w:rPr>
            </w:pPr>
            <w:r>
              <w:rPr>
                <w:b/>
                <w:sz w:val="28"/>
                <w:szCs w:val="28"/>
              </w:rPr>
              <w:t>Evidence</w:t>
            </w:r>
          </w:p>
        </w:tc>
        <w:tc>
          <w:tcPr>
            <w:tcW w:w="1394" w:type="dxa"/>
            <w:shd w:val="clear" w:color="auto" w:fill="D9E2F3" w:themeFill="accent1" w:themeFillTint="33"/>
          </w:tcPr>
          <w:p w14:paraId="3BC52DFB" w14:textId="77777777" w:rsidR="00DB5AEF" w:rsidRDefault="00DB5AEF" w:rsidP="008110B4">
            <w:pPr>
              <w:jc w:val="center"/>
              <w:rPr>
                <w:b/>
                <w:sz w:val="28"/>
                <w:szCs w:val="28"/>
              </w:rPr>
            </w:pPr>
            <w:r>
              <w:rPr>
                <w:b/>
                <w:sz w:val="28"/>
                <w:szCs w:val="28"/>
              </w:rPr>
              <w:t>Score/</w:t>
            </w:r>
          </w:p>
          <w:p w14:paraId="11E969A5" w14:textId="42225FE2" w:rsidR="009B04FE" w:rsidRDefault="009B04FE" w:rsidP="008110B4">
            <w:pPr>
              <w:jc w:val="center"/>
              <w:rPr>
                <w:b/>
                <w:sz w:val="28"/>
                <w:szCs w:val="28"/>
              </w:rPr>
            </w:pPr>
            <w:r>
              <w:rPr>
                <w:b/>
                <w:sz w:val="28"/>
                <w:szCs w:val="28"/>
              </w:rPr>
              <w:t>Rating</w:t>
            </w:r>
          </w:p>
        </w:tc>
        <w:tc>
          <w:tcPr>
            <w:tcW w:w="2150" w:type="dxa"/>
            <w:shd w:val="clear" w:color="auto" w:fill="D9E2F3" w:themeFill="accent1" w:themeFillTint="33"/>
          </w:tcPr>
          <w:p w14:paraId="42868A1A" w14:textId="77777777" w:rsidR="009B04FE" w:rsidRDefault="009B04FE" w:rsidP="008110B4">
            <w:pPr>
              <w:jc w:val="center"/>
              <w:rPr>
                <w:b/>
                <w:sz w:val="28"/>
                <w:szCs w:val="28"/>
              </w:rPr>
            </w:pPr>
            <w:r>
              <w:rPr>
                <w:b/>
                <w:sz w:val="28"/>
                <w:szCs w:val="28"/>
              </w:rPr>
              <w:t>Owner/Lead</w:t>
            </w:r>
          </w:p>
        </w:tc>
      </w:tr>
      <w:tr w:rsidR="00CD5824" w14:paraId="26298AEC" w14:textId="77777777" w:rsidTr="00DB5AEF">
        <w:trPr>
          <w:trHeight w:val="1109"/>
        </w:trPr>
        <w:tc>
          <w:tcPr>
            <w:tcW w:w="1993" w:type="dxa"/>
          </w:tcPr>
          <w:p w14:paraId="48D3D876" w14:textId="77777777" w:rsidR="00CD5824" w:rsidRPr="00036D00" w:rsidRDefault="00CD5824" w:rsidP="00CD5824">
            <w:pPr>
              <w:jc w:val="center"/>
              <w:rPr>
                <w:b/>
              </w:rPr>
            </w:pPr>
            <w:r w:rsidRPr="00036D00">
              <w:rPr>
                <w:b/>
              </w:rPr>
              <w:t>Inclusive</w:t>
            </w:r>
          </w:p>
          <w:p w14:paraId="6FE39805" w14:textId="02240F3F" w:rsidR="00CD5824" w:rsidRDefault="00CD5824" w:rsidP="00CD5824">
            <w:pPr>
              <w:jc w:val="center"/>
              <w:rPr>
                <w:b/>
                <w:sz w:val="28"/>
                <w:szCs w:val="28"/>
              </w:rPr>
            </w:pPr>
            <w:r w:rsidRPr="00036D00">
              <w:rPr>
                <w:b/>
              </w:rPr>
              <w:t>Leadership</w:t>
            </w:r>
          </w:p>
        </w:tc>
        <w:tc>
          <w:tcPr>
            <w:tcW w:w="3281" w:type="dxa"/>
          </w:tcPr>
          <w:p w14:paraId="094BE930" w14:textId="30C1AF8A" w:rsidR="00CD5824" w:rsidRPr="00036D00" w:rsidRDefault="00CD5824" w:rsidP="00CD5824">
            <w:pPr>
              <w:jc w:val="center"/>
              <w:rPr>
                <w:b/>
              </w:rPr>
            </w:pPr>
            <w:r w:rsidRPr="00036D00">
              <w:rPr>
                <w:b/>
              </w:rPr>
              <w:t>3C: Board members and system leaders (Band 9 and VSM) ensure levers are in place to manage performance and monitor progress with staff and patients</w:t>
            </w:r>
          </w:p>
        </w:tc>
        <w:tc>
          <w:tcPr>
            <w:tcW w:w="6209" w:type="dxa"/>
          </w:tcPr>
          <w:p w14:paraId="047B7075" w14:textId="0AC9D279" w:rsidR="00DA6614" w:rsidRPr="00426993" w:rsidRDefault="00CD5824" w:rsidP="00DA6614">
            <w:pPr>
              <w:spacing w:after="160" w:line="259" w:lineRule="auto"/>
              <w:contextualSpacing/>
              <w:rPr>
                <w:rFonts w:eastAsiaTheme="minorHAnsi"/>
                <w:lang w:eastAsia="en-US"/>
              </w:rPr>
            </w:pPr>
            <w:r w:rsidRPr="00BB733C">
              <w:rPr>
                <w:color w:val="000000"/>
              </w:rPr>
              <w:t xml:space="preserve">Appraisal training guides </w:t>
            </w:r>
            <w:r w:rsidR="00DA6614">
              <w:rPr>
                <w:color w:val="000000"/>
              </w:rPr>
              <w:t xml:space="preserve">where </w:t>
            </w:r>
            <w:r w:rsidRPr="00BB733C">
              <w:rPr>
                <w:color w:val="000000"/>
              </w:rPr>
              <w:t xml:space="preserve">Managers </w:t>
            </w:r>
            <w:r w:rsidR="00DA6614">
              <w:rPr>
                <w:color w:val="000000"/>
              </w:rPr>
              <w:t xml:space="preserve">are requested to </w:t>
            </w:r>
            <w:r w:rsidRPr="00BB733C">
              <w:rPr>
                <w:color w:val="000000"/>
              </w:rPr>
              <w:t>consider how their staff demonstrate the Leeds Way behaviours</w:t>
            </w:r>
            <w:r w:rsidR="00DA6614">
              <w:rPr>
                <w:color w:val="000000"/>
              </w:rPr>
              <w:t>,</w:t>
            </w:r>
            <w:r w:rsidRPr="00BB733C">
              <w:rPr>
                <w:color w:val="000000"/>
              </w:rPr>
              <w:t xml:space="preserve"> including the value to be ‘Fair’ and where it is considered unsatisfactory Managers are further guided to identify the necessary remedial action, for example, individual feedback</w:t>
            </w:r>
            <w:r w:rsidR="00DA6614">
              <w:rPr>
                <w:color w:val="000000"/>
              </w:rPr>
              <w:t xml:space="preserve"> and </w:t>
            </w:r>
            <w:r w:rsidRPr="00BB733C">
              <w:rPr>
                <w:color w:val="000000"/>
              </w:rPr>
              <w:t>training.</w:t>
            </w:r>
            <w:r w:rsidR="00DA6614">
              <w:rPr>
                <w:color w:val="000000"/>
              </w:rPr>
              <w:t xml:space="preserve"> As mentioned above, o</w:t>
            </w:r>
            <w:r w:rsidR="00DA6614" w:rsidRPr="00426993">
              <w:rPr>
                <w:rFonts w:eastAsiaTheme="minorHAnsi"/>
                <w:lang w:eastAsia="en-US"/>
              </w:rPr>
              <w:t>pportunities for staff to navigate good people management fundamentals</w:t>
            </w:r>
            <w:r w:rsidR="00DA6614" w:rsidRPr="00C54442">
              <w:rPr>
                <w:rFonts w:eastAsiaTheme="minorHAnsi"/>
                <w:lang w:eastAsia="en-US"/>
              </w:rPr>
              <w:t xml:space="preserve"> have been created</w:t>
            </w:r>
            <w:r w:rsidR="00DA6614" w:rsidRPr="00426993">
              <w:rPr>
                <w:rFonts w:eastAsiaTheme="minorHAnsi"/>
                <w:lang w:eastAsia="en-US"/>
              </w:rPr>
              <w:t>, where behaviours are addressed and challenged in line with the Leeds Way Values including:</w:t>
            </w:r>
          </w:p>
          <w:p w14:paraId="0E95FE0A" w14:textId="77777777" w:rsidR="00DA6614" w:rsidRPr="00DA6614" w:rsidRDefault="00DA6614" w:rsidP="00DA6614">
            <w:pPr>
              <w:pStyle w:val="ListParagraph"/>
              <w:numPr>
                <w:ilvl w:val="0"/>
                <w:numId w:val="12"/>
              </w:numPr>
              <w:spacing w:after="160" w:line="259" w:lineRule="auto"/>
              <w:rPr>
                <w:rFonts w:ascii="Arial" w:eastAsiaTheme="minorHAnsi" w:hAnsi="Arial" w:cs="Arial"/>
                <w:sz w:val="24"/>
                <w:szCs w:val="24"/>
              </w:rPr>
            </w:pPr>
            <w:r w:rsidRPr="00DA6614">
              <w:rPr>
                <w:rFonts w:ascii="Arial" w:eastAsiaTheme="minorHAnsi" w:hAnsi="Arial" w:cs="Arial"/>
                <w:sz w:val="24"/>
                <w:szCs w:val="24"/>
              </w:rPr>
              <w:t>Management Fundamentals Toolkit</w:t>
            </w:r>
          </w:p>
          <w:p w14:paraId="2B3F8EB1" w14:textId="77777777" w:rsidR="00DA6614" w:rsidRPr="00DA6614" w:rsidRDefault="00DA6614" w:rsidP="00DA6614">
            <w:pPr>
              <w:pStyle w:val="ListParagraph"/>
              <w:numPr>
                <w:ilvl w:val="0"/>
                <w:numId w:val="12"/>
              </w:numPr>
              <w:spacing w:after="160" w:line="259" w:lineRule="auto"/>
              <w:rPr>
                <w:rFonts w:ascii="Arial" w:eastAsiaTheme="minorHAnsi" w:hAnsi="Arial" w:cs="Arial"/>
                <w:sz w:val="24"/>
                <w:szCs w:val="24"/>
              </w:rPr>
            </w:pPr>
            <w:r w:rsidRPr="00DA6614">
              <w:rPr>
                <w:rFonts w:ascii="Arial" w:eastAsiaTheme="minorHAnsi" w:hAnsi="Arial" w:cs="Arial"/>
                <w:sz w:val="24"/>
                <w:szCs w:val="24"/>
              </w:rPr>
              <w:t>Kindness and Civility Toolkit</w:t>
            </w:r>
          </w:p>
          <w:p w14:paraId="71EE0D40" w14:textId="77777777" w:rsidR="00DA6614" w:rsidRPr="00DA6614" w:rsidRDefault="00DA6614" w:rsidP="00DA6614">
            <w:pPr>
              <w:pStyle w:val="ListParagraph"/>
              <w:numPr>
                <w:ilvl w:val="0"/>
                <w:numId w:val="12"/>
              </w:numPr>
              <w:spacing w:after="160" w:line="259" w:lineRule="auto"/>
              <w:rPr>
                <w:rFonts w:ascii="Arial" w:hAnsi="Arial" w:cs="Arial"/>
                <w:sz w:val="24"/>
                <w:szCs w:val="24"/>
              </w:rPr>
            </w:pPr>
            <w:r w:rsidRPr="00DA6614">
              <w:rPr>
                <w:rFonts w:ascii="Arial" w:hAnsi="Arial" w:cs="Arial"/>
                <w:sz w:val="24"/>
                <w:szCs w:val="24"/>
              </w:rPr>
              <w:t xml:space="preserve">Health &amp; Wellbeing Conversations </w:t>
            </w:r>
          </w:p>
          <w:p w14:paraId="6BE966EB" w14:textId="29A31F21" w:rsidR="00DA6614" w:rsidRPr="00DA6614" w:rsidRDefault="00DA6614" w:rsidP="00DA6614">
            <w:pPr>
              <w:pStyle w:val="ListParagraph"/>
              <w:numPr>
                <w:ilvl w:val="0"/>
                <w:numId w:val="12"/>
              </w:numPr>
              <w:spacing w:after="160" w:line="259" w:lineRule="auto"/>
              <w:rPr>
                <w:rFonts w:ascii="Arial" w:hAnsi="Arial" w:cs="Arial"/>
                <w:sz w:val="24"/>
                <w:szCs w:val="24"/>
              </w:rPr>
            </w:pPr>
            <w:r w:rsidRPr="00DA6614">
              <w:rPr>
                <w:rFonts w:ascii="Arial" w:hAnsi="Arial" w:cs="Arial"/>
                <w:sz w:val="24"/>
                <w:szCs w:val="24"/>
              </w:rPr>
              <w:t>Inclusive Conversations</w:t>
            </w:r>
          </w:p>
          <w:p w14:paraId="76A9C562" w14:textId="77777777" w:rsidR="00CD5824" w:rsidRDefault="00CD5824" w:rsidP="00426993">
            <w:pPr>
              <w:rPr>
                <w:color w:val="000000"/>
              </w:rPr>
            </w:pPr>
            <w:r w:rsidRPr="00BB733C">
              <w:rPr>
                <w:color w:val="000000"/>
              </w:rPr>
              <w:lastRenderedPageBreak/>
              <w:t xml:space="preserve">Provision of comprehensive Organisational Learning Prospectus inclusive of suite of EDI Training and leadership training that provides tools, </w:t>
            </w:r>
            <w:proofErr w:type="gramStart"/>
            <w:r w:rsidRPr="00BB733C">
              <w:rPr>
                <w:color w:val="000000"/>
              </w:rPr>
              <w:t>support</w:t>
            </w:r>
            <w:proofErr w:type="gramEnd"/>
            <w:r w:rsidRPr="00BB733C">
              <w:rPr>
                <w:color w:val="000000"/>
              </w:rPr>
              <w:t xml:space="preserve"> and guidance in creating an inclusive work environment free from discrimination. The incorporation of the EDI Team within the recently established Organisational Development and Culture Department enables the support to Managers to be streamlined and strengthened.</w:t>
            </w:r>
          </w:p>
          <w:p w14:paraId="08FD1E1C" w14:textId="77777777" w:rsidR="00DA6614" w:rsidRDefault="00DA6614" w:rsidP="00426993">
            <w:pPr>
              <w:rPr>
                <w:b/>
                <w:color w:val="000000"/>
                <w:sz w:val="28"/>
                <w:szCs w:val="28"/>
              </w:rPr>
            </w:pPr>
          </w:p>
          <w:p w14:paraId="403D832C" w14:textId="5EE369E9" w:rsidR="00DA6614" w:rsidRDefault="006462F6" w:rsidP="006462F6">
            <w:pPr>
              <w:rPr>
                <w:b/>
                <w:sz w:val="28"/>
                <w:szCs w:val="28"/>
              </w:rPr>
            </w:pPr>
            <w:r>
              <w:t>S</w:t>
            </w:r>
            <w:r w:rsidR="00DA6614">
              <w:t>enior leaders are supported and held responsible for EDI implications</w:t>
            </w:r>
            <w:r>
              <w:t xml:space="preserve"> through their HR Business Partner and Deputy HR Business Partner, including those implications </w:t>
            </w:r>
            <w:r w:rsidR="00DA6614">
              <w:t xml:space="preserve">linked to </w:t>
            </w:r>
            <w:r>
              <w:t xml:space="preserve">the WRES, WDES and NHS Rainbow Badge Assessment. HR Business Partners in turn connect with the OD &amp; Culture Department to determine and commission solutions. </w:t>
            </w:r>
          </w:p>
        </w:tc>
        <w:tc>
          <w:tcPr>
            <w:tcW w:w="1394" w:type="dxa"/>
          </w:tcPr>
          <w:p w14:paraId="4B61F369" w14:textId="77777777" w:rsidR="00CD5824" w:rsidRDefault="006462F6" w:rsidP="00CD5824">
            <w:pPr>
              <w:jc w:val="center"/>
              <w:rPr>
                <w:b/>
                <w:sz w:val="28"/>
                <w:szCs w:val="28"/>
              </w:rPr>
            </w:pPr>
            <w:r>
              <w:rPr>
                <w:b/>
                <w:sz w:val="28"/>
                <w:szCs w:val="28"/>
              </w:rPr>
              <w:lastRenderedPageBreak/>
              <w:t>2</w:t>
            </w:r>
          </w:p>
          <w:p w14:paraId="12DDF352" w14:textId="7C46494A" w:rsidR="00DB5AEF" w:rsidRDefault="00DB5AEF" w:rsidP="00CD5824">
            <w:pPr>
              <w:jc w:val="center"/>
              <w:rPr>
                <w:b/>
                <w:sz w:val="28"/>
                <w:szCs w:val="28"/>
              </w:rPr>
            </w:pPr>
            <w:r w:rsidRPr="003E763A">
              <w:rPr>
                <w:b/>
                <w:color w:val="00B050"/>
              </w:rPr>
              <w:t>Achieving</w:t>
            </w:r>
          </w:p>
        </w:tc>
        <w:tc>
          <w:tcPr>
            <w:tcW w:w="2150" w:type="dxa"/>
          </w:tcPr>
          <w:p w14:paraId="7AA6537B" w14:textId="77777777" w:rsidR="006462F6" w:rsidRPr="00DA6614" w:rsidRDefault="006462F6" w:rsidP="006462F6">
            <w:pPr>
              <w:jc w:val="center"/>
              <w:rPr>
                <w:b/>
              </w:rPr>
            </w:pPr>
            <w:r w:rsidRPr="00DA6614">
              <w:rPr>
                <w:b/>
              </w:rPr>
              <w:t xml:space="preserve">Head of HR – Organisational Development and Culture </w:t>
            </w:r>
          </w:p>
          <w:p w14:paraId="67CC5D70" w14:textId="77777777" w:rsidR="00CD5824" w:rsidRDefault="00CD5824" w:rsidP="00CD5824">
            <w:pPr>
              <w:jc w:val="center"/>
              <w:rPr>
                <w:b/>
                <w:sz w:val="28"/>
                <w:szCs w:val="28"/>
              </w:rPr>
            </w:pPr>
          </w:p>
        </w:tc>
      </w:tr>
      <w:bookmarkEnd w:id="3"/>
    </w:tbl>
    <w:p w14:paraId="267933BB" w14:textId="77777777" w:rsidR="009B04FE" w:rsidRDefault="009B04FE" w:rsidP="001D2C8A">
      <w:pPr>
        <w:jc w:val="center"/>
        <w:rPr>
          <w:b/>
          <w:sz w:val="28"/>
          <w:szCs w:val="28"/>
        </w:rPr>
      </w:pPr>
    </w:p>
    <w:p w14:paraId="55141D85" w14:textId="7FBD5559" w:rsidR="009B04FE" w:rsidRDefault="009B04FE" w:rsidP="001D2C8A">
      <w:pPr>
        <w:jc w:val="center"/>
        <w:rPr>
          <w:b/>
          <w:sz w:val="28"/>
          <w:szCs w:val="28"/>
        </w:rPr>
      </w:pPr>
    </w:p>
    <w:p w14:paraId="1D8035F7" w14:textId="6F09289A" w:rsidR="009B04FE" w:rsidRDefault="009B04FE" w:rsidP="001D2C8A">
      <w:pPr>
        <w:jc w:val="center"/>
        <w:rPr>
          <w:b/>
          <w:sz w:val="28"/>
          <w:szCs w:val="28"/>
        </w:rPr>
      </w:pPr>
    </w:p>
    <w:p w14:paraId="4D67A104" w14:textId="1B990713" w:rsidR="009B04FE" w:rsidRDefault="009B04FE" w:rsidP="001D2C8A">
      <w:pPr>
        <w:jc w:val="center"/>
        <w:rPr>
          <w:b/>
          <w:sz w:val="28"/>
          <w:szCs w:val="28"/>
        </w:rPr>
      </w:pPr>
    </w:p>
    <w:p w14:paraId="58B1179A" w14:textId="77777777" w:rsidR="009B04FE" w:rsidRDefault="009B04FE" w:rsidP="001D2C8A">
      <w:pPr>
        <w:jc w:val="center"/>
        <w:rPr>
          <w:b/>
          <w:sz w:val="28"/>
          <w:szCs w:val="28"/>
        </w:rPr>
      </w:pPr>
    </w:p>
    <w:p w14:paraId="20BB742D" w14:textId="77777777" w:rsidR="00FF5601" w:rsidRDefault="00FF5601" w:rsidP="001D2C8A">
      <w:pPr>
        <w:jc w:val="center"/>
        <w:rPr>
          <w:b/>
          <w:sz w:val="28"/>
          <w:szCs w:val="28"/>
        </w:rPr>
      </w:pPr>
    </w:p>
    <w:sectPr w:rsidR="00FF5601" w:rsidSect="009B04FE">
      <w:headerReference w:type="even" r:id="rId10"/>
      <w:headerReference w:type="default" r:id="rId11"/>
      <w:footerReference w:type="even" r:id="rId12"/>
      <w:footerReference w:type="default" r:id="rId13"/>
      <w:headerReference w:type="first" r:id="rId14"/>
      <w:footerReference w:type="first" r:id="rId15"/>
      <w:pgSz w:w="16838" w:h="11906" w:orient="landscape"/>
      <w:pgMar w:top="59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6C8D" w14:textId="77777777" w:rsidR="005560EE" w:rsidRDefault="005560EE" w:rsidP="00600785">
      <w:r>
        <w:separator/>
      </w:r>
    </w:p>
  </w:endnote>
  <w:endnote w:type="continuationSeparator" w:id="0">
    <w:p w14:paraId="2740E7D3" w14:textId="77777777" w:rsidR="005560EE" w:rsidRDefault="005560EE" w:rsidP="0060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EF52" w14:textId="77777777" w:rsidR="003E763A" w:rsidRDefault="003E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8A88" w14:textId="55F2E114" w:rsidR="00EE0026" w:rsidRDefault="00EE0026" w:rsidP="00EE0026">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p>
  <w:p w14:paraId="79CD30A9" w14:textId="77777777" w:rsidR="00E570E7" w:rsidRDefault="00E570E7">
    <w:pPr>
      <w:pStyle w:val="Footer"/>
    </w:pPr>
  </w:p>
  <w:p w14:paraId="0DC16BD3" w14:textId="77777777" w:rsidR="000E0E9F" w:rsidRDefault="000E0E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EF88" w14:textId="77777777" w:rsidR="003E763A" w:rsidRDefault="003E7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D1E6" w14:textId="77777777" w:rsidR="005560EE" w:rsidRDefault="005560EE" w:rsidP="00600785">
      <w:r>
        <w:separator/>
      </w:r>
    </w:p>
  </w:footnote>
  <w:footnote w:type="continuationSeparator" w:id="0">
    <w:p w14:paraId="362FAE27" w14:textId="77777777" w:rsidR="005560EE" w:rsidRDefault="005560EE" w:rsidP="0060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AD4B" w14:textId="2861770B" w:rsidR="003E763A" w:rsidRDefault="003E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EEB" w14:textId="3E20A269" w:rsidR="003E763A" w:rsidRDefault="003E7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D4DF" w14:textId="05D71C33" w:rsidR="003E763A" w:rsidRDefault="003E7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7A0"/>
    <w:multiLevelType w:val="hybridMultilevel"/>
    <w:tmpl w:val="7A4C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62E06"/>
    <w:multiLevelType w:val="hybridMultilevel"/>
    <w:tmpl w:val="BFDE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74954"/>
    <w:multiLevelType w:val="hybridMultilevel"/>
    <w:tmpl w:val="A12E13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962CF"/>
    <w:multiLevelType w:val="hybridMultilevel"/>
    <w:tmpl w:val="2C34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9B"/>
    <w:multiLevelType w:val="hybridMultilevel"/>
    <w:tmpl w:val="0B06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D526A"/>
    <w:multiLevelType w:val="hybridMultilevel"/>
    <w:tmpl w:val="D14496C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C7D4C3C"/>
    <w:multiLevelType w:val="hybridMultilevel"/>
    <w:tmpl w:val="CEEA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771"/>
    <w:multiLevelType w:val="hybridMultilevel"/>
    <w:tmpl w:val="95E4C7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B12626"/>
    <w:multiLevelType w:val="hybridMultilevel"/>
    <w:tmpl w:val="74FE94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22075"/>
    <w:multiLevelType w:val="hybridMultilevel"/>
    <w:tmpl w:val="2624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A681B"/>
    <w:multiLevelType w:val="hybridMultilevel"/>
    <w:tmpl w:val="3EEA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90536"/>
    <w:multiLevelType w:val="hybridMultilevel"/>
    <w:tmpl w:val="271839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575582"/>
    <w:multiLevelType w:val="hybridMultilevel"/>
    <w:tmpl w:val="4590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94C80"/>
    <w:multiLevelType w:val="hybridMultilevel"/>
    <w:tmpl w:val="1CF8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50499"/>
    <w:multiLevelType w:val="hybridMultilevel"/>
    <w:tmpl w:val="0936A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7621734">
    <w:abstractNumId w:val="9"/>
  </w:num>
  <w:num w:numId="2" w16cid:durableId="168645851">
    <w:abstractNumId w:val="10"/>
  </w:num>
  <w:num w:numId="3" w16cid:durableId="1912084681">
    <w:abstractNumId w:val="6"/>
  </w:num>
  <w:num w:numId="4" w16cid:durableId="1918325936">
    <w:abstractNumId w:val="0"/>
  </w:num>
  <w:num w:numId="5" w16cid:durableId="541945037">
    <w:abstractNumId w:val="12"/>
  </w:num>
  <w:num w:numId="6" w16cid:durableId="142698954">
    <w:abstractNumId w:val="3"/>
  </w:num>
  <w:num w:numId="7" w16cid:durableId="1660306751">
    <w:abstractNumId w:val="1"/>
  </w:num>
  <w:num w:numId="8" w16cid:durableId="1925189892">
    <w:abstractNumId w:val="4"/>
  </w:num>
  <w:num w:numId="9" w16cid:durableId="1023358351">
    <w:abstractNumId w:val="13"/>
  </w:num>
  <w:num w:numId="10" w16cid:durableId="1772310608">
    <w:abstractNumId w:val="7"/>
  </w:num>
  <w:num w:numId="11" w16cid:durableId="1179546342">
    <w:abstractNumId w:val="5"/>
  </w:num>
  <w:num w:numId="12" w16cid:durableId="1398935002">
    <w:abstractNumId w:val="2"/>
  </w:num>
  <w:num w:numId="13" w16cid:durableId="643779667">
    <w:abstractNumId w:val="11"/>
  </w:num>
  <w:num w:numId="14" w16cid:durableId="952130032">
    <w:abstractNumId w:val="14"/>
  </w:num>
  <w:num w:numId="15" w16cid:durableId="15760127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8A"/>
    <w:rsid w:val="000066CF"/>
    <w:rsid w:val="00014855"/>
    <w:rsid w:val="00036D00"/>
    <w:rsid w:val="00036D75"/>
    <w:rsid w:val="00041C4A"/>
    <w:rsid w:val="000578A1"/>
    <w:rsid w:val="000613DC"/>
    <w:rsid w:val="00062E46"/>
    <w:rsid w:val="000714B1"/>
    <w:rsid w:val="00076F94"/>
    <w:rsid w:val="00087A70"/>
    <w:rsid w:val="00090142"/>
    <w:rsid w:val="000907A3"/>
    <w:rsid w:val="00094B2C"/>
    <w:rsid w:val="00094DE9"/>
    <w:rsid w:val="00096D38"/>
    <w:rsid w:val="00097455"/>
    <w:rsid w:val="000A3A31"/>
    <w:rsid w:val="000A5CC7"/>
    <w:rsid w:val="000E0E9F"/>
    <w:rsid w:val="000E3D61"/>
    <w:rsid w:val="00102BA4"/>
    <w:rsid w:val="0011614A"/>
    <w:rsid w:val="0012200B"/>
    <w:rsid w:val="00124CE8"/>
    <w:rsid w:val="00133F5F"/>
    <w:rsid w:val="00140A1B"/>
    <w:rsid w:val="0014482C"/>
    <w:rsid w:val="00157137"/>
    <w:rsid w:val="0016758D"/>
    <w:rsid w:val="00167AF9"/>
    <w:rsid w:val="00173672"/>
    <w:rsid w:val="00176C55"/>
    <w:rsid w:val="001A518E"/>
    <w:rsid w:val="001A65A9"/>
    <w:rsid w:val="001A7C25"/>
    <w:rsid w:val="001B1FC2"/>
    <w:rsid w:val="001B70FC"/>
    <w:rsid w:val="001D2C8A"/>
    <w:rsid w:val="001D4DB1"/>
    <w:rsid w:val="001E12FA"/>
    <w:rsid w:val="001E79A6"/>
    <w:rsid w:val="001F0BF3"/>
    <w:rsid w:val="001F1098"/>
    <w:rsid w:val="001F42EF"/>
    <w:rsid w:val="00201F31"/>
    <w:rsid w:val="00203CC6"/>
    <w:rsid w:val="002223E4"/>
    <w:rsid w:val="00246857"/>
    <w:rsid w:val="002515A9"/>
    <w:rsid w:val="00260CE4"/>
    <w:rsid w:val="00262E56"/>
    <w:rsid w:val="0026300D"/>
    <w:rsid w:val="00263508"/>
    <w:rsid w:val="00263DFF"/>
    <w:rsid w:val="00264CE4"/>
    <w:rsid w:val="00280461"/>
    <w:rsid w:val="00292C9F"/>
    <w:rsid w:val="00294687"/>
    <w:rsid w:val="002A327D"/>
    <w:rsid w:val="002A7D1E"/>
    <w:rsid w:val="002B237E"/>
    <w:rsid w:val="002D6DAE"/>
    <w:rsid w:val="002D7A57"/>
    <w:rsid w:val="002E0F8A"/>
    <w:rsid w:val="002E13E9"/>
    <w:rsid w:val="002E486E"/>
    <w:rsid w:val="002F24CB"/>
    <w:rsid w:val="002F3C0F"/>
    <w:rsid w:val="00300AE4"/>
    <w:rsid w:val="0030271A"/>
    <w:rsid w:val="003124E7"/>
    <w:rsid w:val="00326B37"/>
    <w:rsid w:val="00344477"/>
    <w:rsid w:val="00347BA3"/>
    <w:rsid w:val="00355082"/>
    <w:rsid w:val="00357F70"/>
    <w:rsid w:val="00362A46"/>
    <w:rsid w:val="003636ED"/>
    <w:rsid w:val="00364BD2"/>
    <w:rsid w:val="00370ABB"/>
    <w:rsid w:val="003710DD"/>
    <w:rsid w:val="003947E5"/>
    <w:rsid w:val="003A5F91"/>
    <w:rsid w:val="003B05F8"/>
    <w:rsid w:val="003C75EA"/>
    <w:rsid w:val="003D0503"/>
    <w:rsid w:val="003E5EAD"/>
    <w:rsid w:val="003E763A"/>
    <w:rsid w:val="003E792B"/>
    <w:rsid w:val="003F10ED"/>
    <w:rsid w:val="003F38FC"/>
    <w:rsid w:val="0041619E"/>
    <w:rsid w:val="0042287E"/>
    <w:rsid w:val="0042380C"/>
    <w:rsid w:val="004254E5"/>
    <w:rsid w:val="00425CFD"/>
    <w:rsid w:val="00426993"/>
    <w:rsid w:val="0042738F"/>
    <w:rsid w:val="00441820"/>
    <w:rsid w:val="00442C68"/>
    <w:rsid w:val="004446CB"/>
    <w:rsid w:val="00455E9F"/>
    <w:rsid w:val="00457A65"/>
    <w:rsid w:val="0046038A"/>
    <w:rsid w:val="00461C67"/>
    <w:rsid w:val="00471BDC"/>
    <w:rsid w:val="00477054"/>
    <w:rsid w:val="004C0CEB"/>
    <w:rsid w:val="004F0122"/>
    <w:rsid w:val="004F1E9A"/>
    <w:rsid w:val="004F4240"/>
    <w:rsid w:val="004F4E41"/>
    <w:rsid w:val="004F65E7"/>
    <w:rsid w:val="005152FA"/>
    <w:rsid w:val="00525EFD"/>
    <w:rsid w:val="00543215"/>
    <w:rsid w:val="00544578"/>
    <w:rsid w:val="005469BD"/>
    <w:rsid w:val="00547F3D"/>
    <w:rsid w:val="00552E03"/>
    <w:rsid w:val="005560EE"/>
    <w:rsid w:val="0055649D"/>
    <w:rsid w:val="0056601D"/>
    <w:rsid w:val="005746FC"/>
    <w:rsid w:val="005874C2"/>
    <w:rsid w:val="005917D3"/>
    <w:rsid w:val="005932B8"/>
    <w:rsid w:val="005A0AB8"/>
    <w:rsid w:val="005A14AB"/>
    <w:rsid w:val="005A691B"/>
    <w:rsid w:val="005B1F30"/>
    <w:rsid w:val="005C32BF"/>
    <w:rsid w:val="005C73E7"/>
    <w:rsid w:val="005D5F8F"/>
    <w:rsid w:val="005E2F2A"/>
    <w:rsid w:val="005E64DF"/>
    <w:rsid w:val="005F0A60"/>
    <w:rsid w:val="00600785"/>
    <w:rsid w:val="006077B7"/>
    <w:rsid w:val="00615F2D"/>
    <w:rsid w:val="00620136"/>
    <w:rsid w:val="006320F3"/>
    <w:rsid w:val="00635A91"/>
    <w:rsid w:val="00640867"/>
    <w:rsid w:val="00641F9B"/>
    <w:rsid w:val="0064436A"/>
    <w:rsid w:val="006462F6"/>
    <w:rsid w:val="006533B0"/>
    <w:rsid w:val="00655B0D"/>
    <w:rsid w:val="00662A29"/>
    <w:rsid w:val="0066323C"/>
    <w:rsid w:val="006678B5"/>
    <w:rsid w:val="0067236B"/>
    <w:rsid w:val="0067293B"/>
    <w:rsid w:val="006816A5"/>
    <w:rsid w:val="00682E6D"/>
    <w:rsid w:val="0069307D"/>
    <w:rsid w:val="006A5DBB"/>
    <w:rsid w:val="006A6934"/>
    <w:rsid w:val="006B0D3F"/>
    <w:rsid w:val="006B20CC"/>
    <w:rsid w:val="006B3076"/>
    <w:rsid w:val="006C3C2C"/>
    <w:rsid w:val="006C7A46"/>
    <w:rsid w:val="006D3C81"/>
    <w:rsid w:val="006E15EC"/>
    <w:rsid w:val="006E7E0D"/>
    <w:rsid w:val="006F678F"/>
    <w:rsid w:val="006F7B48"/>
    <w:rsid w:val="00702C80"/>
    <w:rsid w:val="00703C04"/>
    <w:rsid w:val="00720820"/>
    <w:rsid w:val="00745C5E"/>
    <w:rsid w:val="007601EB"/>
    <w:rsid w:val="00762F8C"/>
    <w:rsid w:val="00781243"/>
    <w:rsid w:val="00785FDC"/>
    <w:rsid w:val="007920C9"/>
    <w:rsid w:val="007952F4"/>
    <w:rsid w:val="00795C79"/>
    <w:rsid w:val="0079676D"/>
    <w:rsid w:val="007A4D37"/>
    <w:rsid w:val="007B450B"/>
    <w:rsid w:val="007B5C65"/>
    <w:rsid w:val="007B6292"/>
    <w:rsid w:val="007C1D9D"/>
    <w:rsid w:val="007C6140"/>
    <w:rsid w:val="007D15DD"/>
    <w:rsid w:val="007F0D3E"/>
    <w:rsid w:val="00804B5E"/>
    <w:rsid w:val="00806820"/>
    <w:rsid w:val="00817562"/>
    <w:rsid w:val="008277CE"/>
    <w:rsid w:val="008277E6"/>
    <w:rsid w:val="008279F8"/>
    <w:rsid w:val="00837A02"/>
    <w:rsid w:val="00846F40"/>
    <w:rsid w:val="0085773C"/>
    <w:rsid w:val="0086041F"/>
    <w:rsid w:val="008621C0"/>
    <w:rsid w:val="008622AB"/>
    <w:rsid w:val="00873A0E"/>
    <w:rsid w:val="00883E41"/>
    <w:rsid w:val="00884B84"/>
    <w:rsid w:val="008875FD"/>
    <w:rsid w:val="00891922"/>
    <w:rsid w:val="00894A50"/>
    <w:rsid w:val="00896296"/>
    <w:rsid w:val="00896370"/>
    <w:rsid w:val="0089648A"/>
    <w:rsid w:val="008970AA"/>
    <w:rsid w:val="008A29A5"/>
    <w:rsid w:val="008C0224"/>
    <w:rsid w:val="008C1963"/>
    <w:rsid w:val="008C2F96"/>
    <w:rsid w:val="008C39A7"/>
    <w:rsid w:val="008C3D8A"/>
    <w:rsid w:val="008C7109"/>
    <w:rsid w:val="008D13A6"/>
    <w:rsid w:val="008D617C"/>
    <w:rsid w:val="008F110E"/>
    <w:rsid w:val="00900B03"/>
    <w:rsid w:val="00903B73"/>
    <w:rsid w:val="00906533"/>
    <w:rsid w:val="00910820"/>
    <w:rsid w:val="00914231"/>
    <w:rsid w:val="00920125"/>
    <w:rsid w:val="0092131B"/>
    <w:rsid w:val="00926F4E"/>
    <w:rsid w:val="00936D95"/>
    <w:rsid w:val="00936FF6"/>
    <w:rsid w:val="009400C4"/>
    <w:rsid w:val="00940432"/>
    <w:rsid w:val="00945F01"/>
    <w:rsid w:val="00956B8D"/>
    <w:rsid w:val="00966594"/>
    <w:rsid w:val="00977950"/>
    <w:rsid w:val="00980FAE"/>
    <w:rsid w:val="009908AF"/>
    <w:rsid w:val="00990C6B"/>
    <w:rsid w:val="0099529B"/>
    <w:rsid w:val="009A5CF4"/>
    <w:rsid w:val="009A7E39"/>
    <w:rsid w:val="009B04FE"/>
    <w:rsid w:val="009B6B34"/>
    <w:rsid w:val="009C4578"/>
    <w:rsid w:val="009C52AA"/>
    <w:rsid w:val="009E3AB8"/>
    <w:rsid w:val="009E644E"/>
    <w:rsid w:val="009E7AC3"/>
    <w:rsid w:val="00A02497"/>
    <w:rsid w:val="00A06F16"/>
    <w:rsid w:val="00A142C0"/>
    <w:rsid w:val="00A26CA8"/>
    <w:rsid w:val="00A34FC8"/>
    <w:rsid w:val="00A352A4"/>
    <w:rsid w:val="00A36C5B"/>
    <w:rsid w:val="00A41A36"/>
    <w:rsid w:val="00A42C70"/>
    <w:rsid w:val="00A54740"/>
    <w:rsid w:val="00A54EB9"/>
    <w:rsid w:val="00A56020"/>
    <w:rsid w:val="00A56D80"/>
    <w:rsid w:val="00A631CC"/>
    <w:rsid w:val="00A64E87"/>
    <w:rsid w:val="00A65A43"/>
    <w:rsid w:val="00A705A1"/>
    <w:rsid w:val="00A705D5"/>
    <w:rsid w:val="00A765D0"/>
    <w:rsid w:val="00A77E9A"/>
    <w:rsid w:val="00A81858"/>
    <w:rsid w:val="00A86131"/>
    <w:rsid w:val="00A871E1"/>
    <w:rsid w:val="00AA7407"/>
    <w:rsid w:val="00AB08F2"/>
    <w:rsid w:val="00AC1EE5"/>
    <w:rsid w:val="00AC3408"/>
    <w:rsid w:val="00AC602C"/>
    <w:rsid w:val="00AD7DB8"/>
    <w:rsid w:val="00AE26E9"/>
    <w:rsid w:val="00AE332D"/>
    <w:rsid w:val="00AE7D59"/>
    <w:rsid w:val="00AF26AC"/>
    <w:rsid w:val="00AF5AC7"/>
    <w:rsid w:val="00B03C18"/>
    <w:rsid w:val="00B0488A"/>
    <w:rsid w:val="00B06FFB"/>
    <w:rsid w:val="00B116A0"/>
    <w:rsid w:val="00B11C20"/>
    <w:rsid w:val="00B275C2"/>
    <w:rsid w:val="00B27726"/>
    <w:rsid w:val="00B3056D"/>
    <w:rsid w:val="00B31F9A"/>
    <w:rsid w:val="00B35153"/>
    <w:rsid w:val="00B469FC"/>
    <w:rsid w:val="00B50B44"/>
    <w:rsid w:val="00B55159"/>
    <w:rsid w:val="00B55F22"/>
    <w:rsid w:val="00B579D7"/>
    <w:rsid w:val="00B75026"/>
    <w:rsid w:val="00B8355B"/>
    <w:rsid w:val="00B84128"/>
    <w:rsid w:val="00B9037A"/>
    <w:rsid w:val="00B96A56"/>
    <w:rsid w:val="00BA0417"/>
    <w:rsid w:val="00BA7A82"/>
    <w:rsid w:val="00BB2919"/>
    <w:rsid w:val="00BC1375"/>
    <w:rsid w:val="00BC2A34"/>
    <w:rsid w:val="00BD0E44"/>
    <w:rsid w:val="00BE223A"/>
    <w:rsid w:val="00BE2EED"/>
    <w:rsid w:val="00C02E9F"/>
    <w:rsid w:val="00C06EC3"/>
    <w:rsid w:val="00C11D71"/>
    <w:rsid w:val="00C268EB"/>
    <w:rsid w:val="00C42CEC"/>
    <w:rsid w:val="00C52ACD"/>
    <w:rsid w:val="00C534B0"/>
    <w:rsid w:val="00C54442"/>
    <w:rsid w:val="00C56152"/>
    <w:rsid w:val="00C7198F"/>
    <w:rsid w:val="00C838D6"/>
    <w:rsid w:val="00C85CCD"/>
    <w:rsid w:val="00C93C88"/>
    <w:rsid w:val="00CB01C1"/>
    <w:rsid w:val="00CB0EA0"/>
    <w:rsid w:val="00CC0DD9"/>
    <w:rsid w:val="00CD12FD"/>
    <w:rsid w:val="00CD46FF"/>
    <w:rsid w:val="00CD5824"/>
    <w:rsid w:val="00CE3343"/>
    <w:rsid w:val="00CF0C9F"/>
    <w:rsid w:val="00D00597"/>
    <w:rsid w:val="00D03E82"/>
    <w:rsid w:val="00D054B2"/>
    <w:rsid w:val="00D11C4D"/>
    <w:rsid w:val="00D242CB"/>
    <w:rsid w:val="00D3014E"/>
    <w:rsid w:val="00D5271D"/>
    <w:rsid w:val="00D57061"/>
    <w:rsid w:val="00D63576"/>
    <w:rsid w:val="00D7215C"/>
    <w:rsid w:val="00D722CE"/>
    <w:rsid w:val="00D842D4"/>
    <w:rsid w:val="00D8525D"/>
    <w:rsid w:val="00D93D0C"/>
    <w:rsid w:val="00D97C79"/>
    <w:rsid w:val="00DA08CE"/>
    <w:rsid w:val="00DA4745"/>
    <w:rsid w:val="00DA542A"/>
    <w:rsid w:val="00DA6614"/>
    <w:rsid w:val="00DA6D10"/>
    <w:rsid w:val="00DA7D4A"/>
    <w:rsid w:val="00DB5AEF"/>
    <w:rsid w:val="00DB7BF4"/>
    <w:rsid w:val="00DC3D34"/>
    <w:rsid w:val="00DC63CC"/>
    <w:rsid w:val="00DD0ED0"/>
    <w:rsid w:val="00DE2F07"/>
    <w:rsid w:val="00DE388D"/>
    <w:rsid w:val="00DE7E1A"/>
    <w:rsid w:val="00DF7D20"/>
    <w:rsid w:val="00E14B0F"/>
    <w:rsid w:val="00E2063C"/>
    <w:rsid w:val="00E231FE"/>
    <w:rsid w:val="00E23CDE"/>
    <w:rsid w:val="00E31DAC"/>
    <w:rsid w:val="00E34BB6"/>
    <w:rsid w:val="00E361DB"/>
    <w:rsid w:val="00E37275"/>
    <w:rsid w:val="00E451B2"/>
    <w:rsid w:val="00E45511"/>
    <w:rsid w:val="00E53A27"/>
    <w:rsid w:val="00E570E7"/>
    <w:rsid w:val="00E6348C"/>
    <w:rsid w:val="00E64C84"/>
    <w:rsid w:val="00E66AC1"/>
    <w:rsid w:val="00E67AD4"/>
    <w:rsid w:val="00E716E8"/>
    <w:rsid w:val="00E71B44"/>
    <w:rsid w:val="00E738CE"/>
    <w:rsid w:val="00E957A3"/>
    <w:rsid w:val="00E97A77"/>
    <w:rsid w:val="00EA1339"/>
    <w:rsid w:val="00EA29A0"/>
    <w:rsid w:val="00EA481F"/>
    <w:rsid w:val="00EA7BDB"/>
    <w:rsid w:val="00EB1098"/>
    <w:rsid w:val="00EB300E"/>
    <w:rsid w:val="00EC2961"/>
    <w:rsid w:val="00EC7AD6"/>
    <w:rsid w:val="00ED7181"/>
    <w:rsid w:val="00EE0026"/>
    <w:rsid w:val="00EE00B6"/>
    <w:rsid w:val="00EE26E9"/>
    <w:rsid w:val="00F0496D"/>
    <w:rsid w:val="00F2143C"/>
    <w:rsid w:val="00F225FE"/>
    <w:rsid w:val="00F27A64"/>
    <w:rsid w:val="00F300B7"/>
    <w:rsid w:val="00F3276B"/>
    <w:rsid w:val="00F3398F"/>
    <w:rsid w:val="00F42267"/>
    <w:rsid w:val="00F464B7"/>
    <w:rsid w:val="00F51FE1"/>
    <w:rsid w:val="00F52F2C"/>
    <w:rsid w:val="00F55517"/>
    <w:rsid w:val="00F57DEE"/>
    <w:rsid w:val="00F62BBB"/>
    <w:rsid w:val="00F65009"/>
    <w:rsid w:val="00F65ABF"/>
    <w:rsid w:val="00F67DCE"/>
    <w:rsid w:val="00F74187"/>
    <w:rsid w:val="00F7704F"/>
    <w:rsid w:val="00F82CC9"/>
    <w:rsid w:val="00F83FD0"/>
    <w:rsid w:val="00F958DF"/>
    <w:rsid w:val="00FA6984"/>
    <w:rsid w:val="00FC62E1"/>
    <w:rsid w:val="00FD3AFD"/>
    <w:rsid w:val="00FE0644"/>
    <w:rsid w:val="00FE3D19"/>
    <w:rsid w:val="00FE66E6"/>
    <w:rsid w:val="00FF1398"/>
    <w:rsid w:val="00FF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65B34"/>
  <w15:chartTrackingRefBased/>
  <w15:docId w15:val="{BC5D0E7A-3103-419B-B327-4BAE3E8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2F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1D2C8A"/>
    <w:pPr>
      <w:spacing w:after="160" w:line="240" w:lineRule="exact"/>
    </w:pPr>
    <w:rPr>
      <w:rFonts w:ascii="Tahoma" w:hAnsi="Tahoma" w:cs="Times New Roman"/>
      <w:sz w:val="20"/>
      <w:szCs w:val="20"/>
      <w:lang w:val="en-US" w:eastAsia="en-US"/>
    </w:rPr>
  </w:style>
  <w:style w:type="paragraph" w:customStyle="1" w:styleId="Default">
    <w:name w:val="Default"/>
    <w:rsid w:val="00441820"/>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rsid w:val="00600785"/>
    <w:pPr>
      <w:tabs>
        <w:tab w:val="center" w:pos="4680"/>
        <w:tab w:val="right" w:pos="9360"/>
      </w:tabs>
    </w:pPr>
    <w:rPr>
      <w:rFonts w:cs="Times New Roman"/>
    </w:rPr>
  </w:style>
  <w:style w:type="character" w:customStyle="1" w:styleId="HeaderChar">
    <w:name w:val="Header Char"/>
    <w:link w:val="Header"/>
    <w:uiPriority w:val="99"/>
    <w:rsid w:val="00600785"/>
    <w:rPr>
      <w:rFonts w:ascii="Arial" w:hAnsi="Arial" w:cs="Arial"/>
      <w:sz w:val="24"/>
      <w:szCs w:val="24"/>
      <w:lang w:val="en-GB" w:eastAsia="en-GB"/>
    </w:rPr>
  </w:style>
  <w:style w:type="paragraph" w:styleId="Footer">
    <w:name w:val="footer"/>
    <w:basedOn w:val="Normal"/>
    <w:link w:val="FooterChar"/>
    <w:uiPriority w:val="99"/>
    <w:rsid w:val="00600785"/>
    <w:pPr>
      <w:tabs>
        <w:tab w:val="center" w:pos="4680"/>
        <w:tab w:val="right" w:pos="9360"/>
      </w:tabs>
    </w:pPr>
    <w:rPr>
      <w:rFonts w:cs="Times New Roman"/>
    </w:rPr>
  </w:style>
  <w:style w:type="character" w:customStyle="1" w:styleId="FooterChar">
    <w:name w:val="Footer Char"/>
    <w:link w:val="Footer"/>
    <w:uiPriority w:val="99"/>
    <w:rsid w:val="00600785"/>
    <w:rPr>
      <w:rFonts w:ascii="Arial" w:hAnsi="Arial" w:cs="Arial"/>
      <w:sz w:val="24"/>
      <w:szCs w:val="24"/>
      <w:lang w:val="en-GB" w:eastAsia="en-GB"/>
    </w:rPr>
  </w:style>
  <w:style w:type="table" w:styleId="TableGrid">
    <w:name w:val="Table Grid"/>
    <w:basedOn w:val="TableNormal"/>
    <w:uiPriority w:val="39"/>
    <w:rsid w:val="00062E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itemblock4">
    <w:name w:val="textitemblock4"/>
    <w:rsid w:val="00E71B44"/>
  </w:style>
  <w:style w:type="paragraph" w:styleId="ListParagraph">
    <w:name w:val="List Paragraph"/>
    <w:basedOn w:val="Normal"/>
    <w:uiPriority w:val="34"/>
    <w:qFormat/>
    <w:rsid w:val="00DE2F07"/>
    <w:pPr>
      <w:spacing w:after="200" w:line="276" w:lineRule="auto"/>
      <w:ind w:left="720"/>
      <w:contextualSpacing/>
    </w:pPr>
    <w:rPr>
      <w:rFonts w:ascii="Calibri" w:eastAsia="Calibri" w:hAnsi="Calibri" w:cs="Times New Roman"/>
      <w:sz w:val="22"/>
      <w:szCs w:val="22"/>
      <w:lang w:eastAsia="en-US"/>
    </w:rPr>
  </w:style>
  <w:style w:type="character" w:styleId="Strong">
    <w:name w:val="Strong"/>
    <w:uiPriority w:val="22"/>
    <w:qFormat/>
    <w:rsid w:val="00A871E1"/>
    <w:rPr>
      <w:b/>
      <w:bCs/>
    </w:rPr>
  </w:style>
  <w:style w:type="paragraph" w:styleId="NormalWeb">
    <w:name w:val="Normal (Web)"/>
    <w:basedOn w:val="Normal"/>
    <w:uiPriority w:val="99"/>
    <w:unhideWhenUsed/>
    <w:rsid w:val="00A871E1"/>
    <w:pPr>
      <w:spacing w:before="100" w:beforeAutospacing="1" w:after="100" w:afterAutospacing="1"/>
    </w:pPr>
    <w:rPr>
      <w:rFonts w:ascii="Times New Roman" w:hAnsi="Times New Roman" w:cs="Times New Roman"/>
    </w:rPr>
  </w:style>
  <w:style w:type="character" w:styleId="Hyperlink">
    <w:name w:val="Hyperlink"/>
    <w:rsid w:val="00AC602C"/>
    <w:rPr>
      <w:color w:val="0000FF"/>
      <w:u w:val="single"/>
    </w:rPr>
  </w:style>
  <w:style w:type="paragraph" w:customStyle="1" w:styleId="Style1">
    <w:name w:val="Style 1"/>
    <w:basedOn w:val="Normal"/>
    <w:uiPriority w:val="99"/>
    <w:rsid w:val="00EA1339"/>
    <w:pPr>
      <w:widowControl w:val="0"/>
      <w:autoSpaceDE w:val="0"/>
      <w:autoSpaceDN w:val="0"/>
      <w:adjustRightInd w:val="0"/>
    </w:pPr>
    <w:rPr>
      <w:rFonts w:ascii="Times New Roman" w:hAnsi="Times New Roman" w:cs="Times New Roman"/>
      <w:sz w:val="20"/>
      <w:szCs w:val="20"/>
      <w:lang w:val="en-US"/>
    </w:rPr>
  </w:style>
  <w:style w:type="character" w:customStyle="1" w:styleId="A5">
    <w:name w:val="A5"/>
    <w:uiPriority w:val="99"/>
    <w:rsid w:val="00AE7D59"/>
    <w:rPr>
      <w:rFonts w:cs="Frutiger LT Std 45 Light"/>
      <w:color w:val="000000"/>
      <w:sz w:val="22"/>
      <w:szCs w:val="22"/>
    </w:rPr>
  </w:style>
  <w:style w:type="paragraph" w:customStyle="1" w:styleId="NormalItalics">
    <w:name w:val="Normal + Italics"/>
    <w:basedOn w:val="Normal"/>
    <w:link w:val="NormalItalicsChar"/>
    <w:rsid w:val="00D5271D"/>
    <w:rPr>
      <w:rFonts w:cs="Times New Roman"/>
      <w:i/>
      <w:lang w:val="x-none" w:eastAsia="x-none"/>
    </w:rPr>
  </w:style>
  <w:style w:type="character" w:customStyle="1" w:styleId="NormalItalicsChar">
    <w:name w:val="Normal + Italics Char"/>
    <w:link w:val="NormalItalics"/>
    <w:rsid w:val="00D5271D"/>
    <w:rPr>
      <w:rFonts w:ascii="Arial" w:hAnsi="Arial"/>
      <w:i/>
      <w:sz w:val="24"/>
      <w:szCs w:val="24"/>
      <w:lang w:val="x-none" w:eastAsia="x-none"/>
    </w:rPr>
  </w:style>
  <w:style w:type="paragraph" w:styleId="NoSpacing">
    <w:name w:val="No Spacing"/>
    <w:uiPriority w:val="1"/>
    <w:qFormat/>
    <w:rsid w:val="00DA542A"/>
    <w:rPr>
      <w:rFonts w:ascii="Calibri" w:eastAsia="Calibri" w:hAnsi="Calibri"/>
      <w:sz w:val="22"/>
      <w:szCs w:val="22"/>
      <w:lang w:eastAsia="en-US"/>
    </w:rPr>
  </w:style>
  <w:style w:type="character" w:styleId="CommentReference">
    <w:name w:val="annotation reference"/>
    <w:rsid w:val="003947E5"/>
    <w:rPr>
      <w:sz w:val="16"/>
      <w:szCs w:val="16"/>
    </w:rPr>
  </w:style>
  <w:style w:type="paragraph" w:styleId="CommentText">
    <w:name w:val="annotation text"/>
    <w:basedOn w:val="Normal"/>
    <w:link w:val="CommentTextChar"/>
    <w:rsid w:val="003947E5"/>
    <w:rPr>
      <w:sz w:val="20"/>
      <w:szCs w:val="20"/>
    </w:rPr>
  </w:style>
  <w:style w:type="character" w:customStyle="1" w:styleId="CommentTextChar">
    <w:name w:val="Comment Text Char"/>
    <w:link w:val="CommentText"/>
    <w:rsid w:val="003947E5"/>
    <w:rPr>
      <w:rFonts w:ascii="Arial" w:hAnsi="Arial" w:cs="Arial"/>
    </w:rPr>
  </w:style>
  <w:style w:type="paragraph" w:styleId="CommentSubject">
    <w:name w:val="annotation subject"/>
    <w:basedOn w:val="CommentText"/>
    <w:next w:val="CommentText"/>
    <w:link w:val="CommentSubjectChar"/>
    <w:rsid w:val="003947E5"/>
    <w:rPr>
      <w:b/>
      <w:bCs/>
    </w:rPr>
  </w:style>
  <w:style w:type="character" w:customStyle="1" w:styleId="CommentSubjectChar">
    <w:name w:val="Comment Subject Char"/>
    <w:link w:val="CommentSubject"/>
    <w:rsid w:val="003947E5"/>
    <w:rPr>
      <w:rFonts w:ascii="Arial" w:hAnsi="Arial" w:cs="Arial"/>
      <w:b/>
      <w:bCs/>
    </w:rPr>
  </w:style>
  <w:style w:type="table" w:styleId="TableContemporary">
    <w:name w:val="Table Contemporary"/>
    <w:basedOn w:val="TableNormal"/>
    <w:rsid w:val="00D03E8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084">
      <w:bodyDiv w:val="1"/>
      <w:marLeft w:val="0"/>
      <w:marRight w:val="0"/>
      <w:marTop w:val="0"/>
      <w:marBottom w:val="0"/>
      <w:divBdr>
        <w:top w:val="none" w:sz="0" w:space="0" w:color="auto"/>
        <w:left w:val="none" w:sz="0" w:space="0" w:color="auto"/>
        <w:bottom w:val="none" w:sz="0" w:space="0" w:color="auto"/>
        <w:right w:val="none" w:sz="0" w:space="0" w:color="auto"/>
      </w:divBdr>
      <w:divsChild>
        <w:div w:id="264463961">
          <w:marLeft w:val="0"/>
          <w:marRight w:val="0"/>
          <w:marTop w:val="0"/>
          <w:marBottom w:val="0"/>
          <w:divBdr>
            <w:top w:val="none" w:sz="0" w:space="0" w:color="auto"/>
            <w:left w:val="none" w:sz="0" w:space="0" w:color="auto"/>
            <w:bottom w:val="none" w:sz="0" w:space="0" w:color="auto"/>
            <w:right w:val="none" w:sz="0" w:space="0" w:color="auto"/>
          </w:divBdr>
        </w:div>
      </w:divsChild>
    </w:div>
    <w:div w:id="180702487">
      <w:bodyDiv w:val="1"/>
      <w:marLeft w:val="0"/>
      <w:marRight w:val="0"/>
      <w:marTop w:val="0"/>
      <w:marBottom w:val="0"/>
      <w:divBdr>
        <w:top w:val="none" w:sz="0" w:space="0" w:color="auto"/>
        <w:left w:val="none" w:sz="0" w:space="0" w:color="auto"/>
        <w:bottom w:val="none" w:sz="0" w:space="0" w:color="auto"/>
        <w:right w:val="none" w:sz="0" w:space="0" w:color="auto"/>
      </w:divBdr>
      <w:divsChild>
        <w:div w:id="643198467">
          <w:marLeft w:val="0"/>
          <w:marRight w:val="0"/>
          <w:marTop w:val="0"/>
          <w:marBottom w:val="0"/>
          <w:divBdr>
            <w:top w:val="none" w:sz="0" w:space="0" w:color="auto"/>
            <w:left w:val="none" w:sz="0" w:space="0" w:color="auto"/>
            <w:bottom w:val="none" w:sz="0" w:space="0" w:color="auto"/>
            <w:right w:val="none" w:sz="0" w:space="0" w:color="auto"/>
          </w:divBdr>
          <w:divsChild>
            <w:div w:id="1511598491">
              <w:marLeft w:val="0"/>
              <w:marRight w:val="0"/>
              <w:marTop w:val="0"/>
              <w:marBottom w:val="0"/>
              <w:divBdr>
                <w:top w:val="none" w:sz="0" w:space="0" w:color="auto"/>
                <w:left w:val="none" w:sz="0" w:space="0" w:color="auto"/>
                <w:bottom w:val="none" w:sz="0" w:space="0" w:color="auto"/>
                <w:right w:val="none" w:sz="0" w:space="0" w:color="auto"/>
              </w:divBdr>
              <w:divsChild>
                <w:div w:id="753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6851">
      <w:bodyDiv w:val="1"/>
      <w:marLeft w:val="0"/>
      <w:marRight w:val="0"/>
      <w:marTop w:val="0"/>
      <w:marBottom w:val="0"/>
      <w:divBdr>
        <w:top w:val="none" w:sz="0" w:space="0" w:color="auto"/>
        <w:left w:val="none" w:sz="0" w:space="0" w:color="auto"/>
        <w:bottom w:val="none" w:sz="0" w:space="0" w:color="auto"/>
        <w:right w:val="none" w:sz="0" w:space="0" w:color="auto"/>
      </w:divBdr>
    </w:div>
    <w:div w:id="482626119">
      <w:bodyDiv w:val="1"/>
      <w:marLeft w:val="0"/>
      <w:marRight w:val="0"/>
      <w:marTop w:val="0"/>
      <w:marBottom w:val="0"/>
      <w:divBdr>
        <w:top w:val="none" w:sz="0" w:space="0" w:color="auto"/>
        <w:left w:val="none" w:sz="0" w:space="0" w:color="auto"/>
        <w:bottom w:val="none" w:sz="0" w:space="0" w:color="auto"/>
        <w:right w:val="none" w:sz="0" w:space="0" w:color="auto"/>
      </w:divBdr>
      <w:divsChild>
        <w:div w:id="821700661">
          <w:marLeft w:val="0"/>
          <w:marRight w:val="0"/>
          <w:marTop w:val="0"/>
          <w:marBottom w:val="0"/>
          <w:divBdr>
            <w:top w:val="none" w:sz="0" w:space="0" w:color="auto"/>
            <w:left w:val="none" w:sz="0" w:space="0" w:color="auto"/>
            <w:bottom w:val="none" w:sz="0" w:space="0" w:color="auto"/>
            <w:right w:val="none" w:sz="0" w:space="0" w:color="auto"/>
          </w:divBdr>
          <w:divsChild>
            <w:div w:id="999770996">
              <w:marLeft w:val="-7470"/>
              <w:marRight w:val="0"/>
              <w:marTop w:val="0"/>
              <w:marBottom w:val="0"/>
              <w:divBdr>
                <w:top w:val="none" w:sz="0" w:space="0" w:color="auto"/>
                <w:left w:val="none" w:sz="0" w:space="0" w:color="auto"/>
                <w:bottom w:val="none" w:sz="0" w:space="0" w:color="auto"/>
                <w:right w:val="none" w:sz="0" w:space="0" w:color="auto"/>
              </w:divBdr>
              <w:divsChild>
                <w:div w:id="1833527638">
                  <w:marLeft w:val="210"/>
                  <w:marRight w:val="375"/>
                  <w:marTop w:val="75"/>
                  <w:marBottom w:val="0"/>
                  <w:divBdr>
                    <w:top w:val="none" w:sz="0" w:space="0" w:color="auto"/>
                    <w:left w:val="none" w:sz="0" w:space="0" w:color="auto"/>
                    <w:bottom w:val="none" w:sz="0" w:space="0" w:color="auto"/>
                    <w:right w:val="none" w:sz="0" w:space="0" w:color="auto"/>
                  </w:divBdr>
                </w:div>
              </w:divsChild>
            </w:div>
          </w:divsChild>
        </w:div>
      </w:divsChild>
    </w:div>
    <w:div w:id="528301679">
      <w:bodyDiv w:val="1"/>
      <w:marLeft w:val="0"/>
      <w:marRight w:val="0"/>
      <w:marTop w:val="0"/>
      <w:marBottom w:val="0"/>
      <w:divBdr>
        <w:top w:val="none" w:sz="0" w:space="0" w:color="auto"/>
        <w:left w:val="none" w:sz="0" w:space="0" w:color="auto"/>
        <w:bottom w:val="none" w:sz="0" w:space="0" w:color="auto"/>
        <w:right w:val="none" w:sz="0" w:space="0" w:color="auto"/>
      </w:divBdr>
    </w:div>
    <w:div w:id="635255961">
      <w:bodyDiv w:val="1"/>
      <w:marLeft w:val="0"/>
      <w:marRight w:val="0"/>
      <w:marTop w:val="0"/>
      <w:marBottom w:val="0"/>
      <w:divBdr>
        <w:top w:val="none" w:sz="0" w:space="0" w:color="auto"/>
        <w:left w:val="none" w:sz="0" w:space="0" w:color="auto"/>
        <w:bottom w:val="none" w:sz="0" w:space="0" w:color="auto"/>
        <w:right w:val="none" w:sz="0" w:space="0" w:color="auto"/>
      </w:divBdr>
      <w:divsChild>
        <w:div w:id="1000153982">
          <w:marLeft w:val="0"/>
          <w:marRight w:val="0"/>
          <w:marTop w:val="0"/>
          <w:marBottom w:val="0"/>
          <w:divBdr>
            <w:top w:val="none" w:sz="0" w:space="0" w:color="auto"/>
            <w:left w:val="none" w:sz="0" w:space="0" w:color="auto"/>
            <w:bottom w:val="none" w:sz="0" w:space="0" w:color="auto"/>
            <w:right w:val="none" w:sz="0" w:space="0" w:color="auto"/>
          </w:divBdr>
          <w:divsChild>
            <w:div w:id="2134640145">
              <w:marLeft w:val="-7470"/>
              <w:marRight w:val="0"/>
              <w:marTop w:val="0"/>
              <w:marBottom w:val="0"/>
              <w:divBdr>
                <w:top w:val="none" w:sz="0" w:space="0" w:color="auto"/>
                <w:left w:val="none" w:sz="0" w:space="0" w:color="auto"/>
                <w:bottom w:val="none" w:sz="0" w:space="0" w:color="auto"/>
                <w:right w:val="none" w:sz="0" w:space="0" w:color="auto"/>
              </w:divBdr>
              <w:divsChild>
                <w:div w:id="1970816458">
                  <w:marLeft w:val="210"/>
                  <w:marRight w:val="375"/>
                  <w:marTop w:val="75"/>
                  <w:marBottom w:val="0"/>
                  <w:divBdr>
                    <w:top w:val="none" w:sz="0" w:space="0" w:color="auto"/>
                    <w:left w:val="none" w:sz="0" w:space="0" w:color="auto"/>
                    <w:bottom w:val="none" w:sz="0" w:space="0" w:color="auto"/>
                    <w:right w:val="none" w:sz="0" w:space="0" w:color="auto"/>
                  </w:divBdr>
                </w:div>
              </w:divsChild>
            </w:div>
          </w:divsChild>
        </w:div>
      </w:divsChild>
    </w:div>
    <w:div w:id="719405897">
      <w:bodyDiv w:val="1"/>
      <w:marLeft w:val="0"/>
      <w:marRight w:val="0"/>
      <w:marTop w:val="0"/>
      <w:marBottom w:val="0"/>
      <w:divBdr>
        <w:top w:val="none" w:sz="0" w:space="0" w:color="auto"/>
        <w:left w:val="none" w:sz="0" w:space="0" w:color="auto"/>
        <w:bottom w:val="none" w:sz="0" w:space="0" w:color="auto"/>
        <w:right w:val="none" w:sz="0" w:space="0" w:color="auto"/>
      </w:divBdr>
    </w:div>
    <w:div w:id="729229510">
      <w:bodyDiv w:val="1"/>
      <w:marLeft w:val="0"/>
      <w:marRight w:val="0"/>
      <w:marTop w:val="0"/>
      <w:marBottom w:val="0"/>
      <w:divBdr>
        <w:top w:val="none" w:sz="0" w:space="0" w:color="auto"/>
        <w:left w:val="none" w:sz="0" w:space="0" w:color="auto"/>
        <w:bottom w:val="none" w:sz="0" w:space="0" w:color="auto"/>
        <w:right w:val="none" w:sz="0" w:space="0" w:color="auto"/>
      </w:divBdr>
      <w:divsChild>
        <w:div w:id="977809029">
          <w:marLeft w:val="0"/>
          <w:marRight w:val="0"/>
          <w:marTop w:val="0"/>
          <w:marBottom w:val="0"/>
          <w:divBdr>
            <w:top w:val="none" w:sz="0" w:space="0" w:color="auto"/>
            <w:left w:val="none" w:sz="0" w:space="0" w:color="auto"/>
            <w:bottom w:val="none" w:sz="0" w:space="0" w:color="auto"/>
            <w:right w:val="none" w:sz="0" w:space="0" w:color="auto"/>
          </w:divBdr>
        </w:div>
      </w:divsChild>
    </w:div>
    <w:div w:id="11549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and.nhs.uk/wp-content/uploads/2022/08/EDS-2022-ratings-and-score-card-guidance-v2.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53752-7DDE-496C-83C6-3B2545E3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Equality Delivery System - Goals and Outcomes</vt:lpstr>
    </vt:vector>
  </TitlesOfParts>
  <Company>BHIS</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Delivery System - Goals and Outcomes</dc:title>
  <dc:subject/>
  <dc:creator>carterl3</dc:creator>
  <cp:keywords/>
  <cp:lastModifiedBy>JUDGE, Emma (LEEDS TEACHING HOSPITALS NHS TRUST)</cp:lastModifiedBy>
  <cp:revision>2</cp:revision>
  <cp:lastPrinted>2013-11-14T11:19:00Z</cp:lastPrinted>
  <dcterms:created xsi:type="dcterms:W3CDTF">2024-02-22T14:59:00Z</dcterms:created>
  <dcterms:modified xsi:type="dcterms:W3CDTF">2024-02-22T14:59:00Z</dcterms:modified>
</cp:coreProperties>
</file>