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EC4C" w14:textId="77777777" w:rsidR="0006432C" w:rsidRDefault="00BB733C" w:rsidP="007F21E7">
      <w:pPr>
        <w:jc w:val="right"/>
        <w:rPr>
          <w:rFonts w:ascii="Tahoma" w:hAnsi="Tahoma" w:cs="Tahoma"/>
          <w:b/>
          <w:sz w:val="28"/>
          <w:szCs w:val="28"/>
        </w:rPr>
      </w:pPr>
      <w:r w:rsidRPr="00CF30E3">
        <w:rPr>
          <w:rFonts w:eastAsia="Times New Roman"/>
          <w:b/>
          <w:bCs/>
          <w:noProof/>
          <w:sz w:val="28"/>
          <w:szCs w:val="28"/>
          <w:lang w:eastAsia="en-GB"/>
        </w:rPr>
        <w:drawing>
          <wp:anchor distT="0" distB="0" distL="114300" distR="114300" simplePos="0" relativeHeight="251659264" behindDoc="1" locked="0" layoutInCell="1" allowOverlap="1" wp14:anchorId="50C62AB0" wp14:editId="5D6081B2">
            <wp:simplePos x="0" y="0"/>
            <wp:positionH relativeFrom="column">
              <wp:posOffset>7931785</wp:posOffset>
            </wp:positionH>
            <wp:positionV relativeFrom="paragraph">
              <wp:posOffset>-177165</wp:posOffset>
            </wp:positionV>
            <wp:extent cx="1773263" cy="904875"/>
            <wp:effectExtent l="0" t="0" r="0" b="0"/>
            <wp:wrapNone/>
            <wp:docPr id="38" name="Picture 38" descr="G:\Policy Approval December 13\Templates\LTHT NHS logo v2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olicy Approval December 13\Templates\LTHT NHS logo v2 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3263"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D1D30" w14:textId="77777777" w:rsidR="0006432C" w:rsidRPr="00BB733C" w:rsidRDefault="0006432C" w:rsidP="00316150">
      <w:pPr>
        <w:jc w:val="center"/>
        <w:rPr>
          <w:rFonts w:ascii="Arial" w:hAnsi="Arial" w:cs="Arial"/>
          <w:b/>
          <w:color w:val="1F497D" w:themeColor="text2"/>
          <w:sz w:val="36"/>
          <w:szCs w:val="36"/>
        </w:rPr>
      </w:pPr>
      <w:r w:rsidRPr="00BB733C">
        <w:rPr>
          <w:rFonts w:ascii="Arial" w:hAnsi="Arial" w:cs="Arial"/>
          <w:b/>
          <w:color w:val="1F497D" w:themeColor="text2"/>
          <w:sz w:val="36"/>
          <w:szCs w:val="36"/>
        </w:rPr>
        <w:t>NHS Equality Delivery System</w:t>
      </w:r>
    </w:p>
    <w:p w14:paraId="5AA5A4C2" w14:textId="77777777" w:rsidR="00BB733C" w:rsidRPr="00BB733C" w:rsidRDefault="00BB733C" w:rsidP="00BB733C">
      <w:pPr>
        <w:jc w:val="center"/>
        <w:rPr>
          <w:rFonts w:ascii="Arial" w:hAnsi="Arial" w:cs="Arial"/>
          <w:b/>
          <w:color w:val="1F497D" w:themeColor="text2"/>
          <w:sz w:val="36"/>
          <w:szCs w:val="36"/>
        </w:rPr>
      </w:pPr>
      <w:r w:rsidRPr="00BB733C">
        <w:rPr>
          <w:rFonts w:ascii="Arial" w:hAnsi="Arial" w:cs="Arial"/>
          <w:b/>
          <w:color w:val="1F497D" w:themeColor="text2"/>
          <w:sz w:val="36"/>
          <w:szCs w:val="36"/>
        </w:rPr>
        <w:t xml:space="preserve">Goal 4 ‘Inclusive Leadership </w:t>
      </w:r>
      <w:proofErr w:type="gramStart"/>
      <w:r w:rsidRPr="00BB733C">
        <w:rPr>
          <w:rFonts w:ascii="Arial" w:hAnsi="Arial" w:cs="Arial"/>
          <w:b/>
          <w:color w:val="1F497D" w:themeColor="text2"/>
          <w:sz w:val="36"/>
          <w:szCs w:val="36"/>
        </w:rPr>
        <w:t>At</w:t>
      </w:r>
      <w:proofErr w:type="gramEnd"/>
      <w:r w:rsidRPr="00BB733C">
        <w:rPr>
          <w:rFonts w:ascii="Arial" w:hAnsi="Arial" w:cs="Arial"/>
          <w:b/>
          <w:color w:val="1F497D" w:themeColor="text2"/>
          <w:sz w:val="36"/>
          <w:szCs w:val="36"/>
        </w:rPr>
        <w:t xml:space="preserve"> All Levels’</w:t>
      </w:r>
    </w:p>
    <w:p w14:paraId="1FAE9D04" w14:textId="77777777" w:rsidR="0006432C" w:rsidRPr="00BB733C" w:rsidRDefault="00BB733C" w:rsidP="00BB733C">
      <w:pPr>
        <w:jc w:val="center"/>
        <w:rPr>
          <w:rFonts w:ascii="Arial" w:hAnsi="Arial"/>
          <w:b/>
          <w:sz w:val="36"/>
          <w:szCs w:val="36"/>
          <w:lang w:eastAsia="en-GB"/>
        </w:rPr>
      </w:pPr>
      <w:r w:rsidRPr="00BB733C">
        <w:rPr>
          <w:rFonts w:ascii="Arial" w:hAnsi="Arial" w:cs="Arial"/>
          <w:b/>
          <w:color w:val="1F497D" w:themeColor="text2"/>
          <w:sz w:val="36"/>
          <w:szCs w:val="36"/>
        </w:rPr>
        <w:t>Self-Assessment 2022/23</w:t>
      </w:r>
    </w:p>
    <w:tbl>
      <w:tblPr>
        <w:tblW w:w="163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26"/>
        <w:gridCol w:w="2268"/>
        <w:gridCol w:w="10206"/>
        <w:gridCol w:w="2551"/>
      </w:tblGrid>
      <w:tr w:rsidR="00340212" w:rsidRPr="003F0A3C" w14:paraId="3ACD6899" w14:textId="77777777" w:rsidTr="00BB733C">
        <w:trPr>
          <w:tblHeader/>
        </w:trPr>
        <w:tc>
          <w:tcPr>
            <w:tcW w:w="851" w:type="dxa"/>
            <w:tcBorders>
              <w:top w:val="nil"/>
              <w:left w:val="nil"/>
              <w:bottom w:val="nil"/>
            </w:tcBorders>
          </w:tcPr>
          <w:p w14:paraId="08CA6392" w14:textId="77777777" w:rsidR="00340212" w:rsidRPr="003F0A3C" w:rsidRDefault="00340212" w:rsidP="003F0A3C">
            <w:pPr>
              <w:spacing w:after="0" w:line="240" w:lineRule="auto"/>
              <w:rPr>
                <w:rFonts w:ascii="Tahoma" w:hAnsi="Tahoma" w:cs="Tahoma"/>
                <w:b/>
                <w:sz w:val="24"/>
                <w:szCs w:val="24"/>
              </w:rPr>
            </w:pPr>
          </w:p>
        </w:tc>
        <w:tc>
          <w:tcPr>
            <w:tcW w:w="2694" w:type="dxa"/>
            <w:gridSpan w:val="2"/>
          </w:tcPr>
          <w:p w14:paraId="575A8598" w14:textId="77777777" w:rsidR="00340212" w:rsidRPr="00BB733C" w:rsidRDefault="00340212" w:rsidP="00144189">
            <w:pPr>
              <w:spacing w:after="0" w:line="240" w:lineRule="auto"/>
              <w:jc w:val="center"/>
              <w:rPr>
                <w:rFonts w:ascii="Arial" w:hAnsi="Arial" w:cs="Arial"/>
                <w:b/>
                <w:color w:val="1F497D" w:themeColor="text2"/>
                <w:sz w:val="24"/>
                <w:szCs w:val="24"/>
              </w:rPr>
            </w:pPr>
            <w:r w:rsidRPr="00BB733C">
              <w:rPr>
                <w:rFonts w:ascii="Arial" w:hAnsi="Arial" w:cs="Arial"/>
                <w:b/>
                <w:color w:val="1F497D" w:themeColor="text2"/>
                <w:sz w:val="24"/>
                <w:szCs w:val="24"/>
              </w:rPr>
              <w:t>Goal Four</w:t>
            </w:r>
          </w:p>
          <w:p w14:paraId="46C402D7" w14:textId="77777777" w:rsidR="00340212" w:rsidRPr="00BB733C" w:rsidRDefault="00340212" w:rsidP="00144189">
            <w:pPr>
              <w:spacing w:after="0" w:line="240" w:lineRule="auto"/>
              <w:jc w:val="center"/>
              <w:rPr>
                <w:rFonts w:ascii="Arial" w:hAnsi="Arial" w:cs="Arial"/>
                <w:color w:val="1F497D" w:themeColor="text2"/>
                <w:sz w:val="24"/>
                <w:szCs w:val="24"/>
              </w:rPr>
            </w:pPr>
            <w:r w:rsidRPr="00BB733C">
              <w:rPr>
                <w:rFonts w:ascii="Arial" w:hAnsi="Arial" w:cs="Arial"/>
                <w:b/>
                <w:color w:val="1F497D" w:themeColor="text2"/>
                <w:sz w:val="24"/>
                <w:szCs w:val="24"/>
              </w:rPr>
              <w:t>Outcomes</w:t>
            </w:r>
          </w:p>
        </w:tc>
        <w:tc>
          <w:tcPr>
            <w:tcW w:w="10206" w:type="dxa"/>
            <w:tcBorders>
              <w:bottom w:val="single" w:sz="4" w:space="0" w:color="auto"/>
            </w:tcBorders>
          </w:tcPr>
          <w:p w14:paraId="68ADDE26" w14:textId="77777777" w:rsidR="00340212" w:rsidRPr="00BB733C" w:rsidRDefault="00340212" w:rsidP="00144189">
            <w:pPr>
              <w:spacing w:after="0" w:line="240" w:lineRule="auto"/>
              <w:jc w:val="center"/>
              <w:rPr>
                <w:rFonts w:ascii="Arial" w:hAnsi="Arial" w:cs="Arial"/>
                <w:b/>
                <w:color w:val="1F497D" w:themeColor="text2"/>
                <w:sz w:val="24"/>
                <w:szCs w:val="24"/>
              </w:rPr>
            </w:pPr>
            <w:r w:rsidRPr="00BB733C">
              <w:rPr>
                <w:rFonts w:ascii="Arial" w:hAnsi="Arial" w:cs="Arial"/>
                <w:b/>
                <w:color w:val="1F497D" w:themeColor="text2"/>
                <w:sz w:val="24"/>
                <w:szCs w:val="24"/>
              </w:rPr>
              <w:t>Activity/ Action / Project</w:t>
            </w:r>
          </w:p>
          <w:p w14:paraId="71305528" w14:textId="77777777" w:rsidR="00340212" w:rsidRPr="00BB733C" w:rsidRDefault="00340212" w:rsidP="00144189">
            <w:pPr>
              <w:spacing w:after="0" w:line="240" w:lineRule="auto"/>
              <w:jc w:val="center"/>
              <w:rPr>
                <w:rFonts w:ascii="Arial" w:hAnsi="Arial" w:cs="Arial"/>
                <w:color w:val="1F497D" w:themeColor="text2"/>
                <w:sz w:val="24"/>
                <w:szCs w:val="24"/>
              </w:rPr>
            </w:pPr>
          </w:p>
        </w:tc>
        <w:tc>
          <w:tcPr>
            <w:tcW w:w="2551" w:type="dxa"/>
          </w:tcPr>
          <w:p w14:paraId="663FDB50" w14:textId="77777777" w:rsidR="00340212" w:rsidRPr="00BB733C" w:rsidRDefault="00340212" w:rsidP="00144189">
            <w:pPr>
              <w:spacing w:after="0" w:line="240" w:lineRule="auto"/>
              <w:jc w:val="center"/>
              <w:rPr>
                <w:rFonts w:ascii="Arial" w:hAnsi="Arial" w:cs="Arial"/>
                <w:color w:val="1F497D" w:themeColor="text2"/>
                <w:sz w:val="24"/>
                <w:szCs w:val="24"/>
              </w:rPr>
            </w:pPr>
            <w:r w:rsidRPr="00BB733C">
              <w:rPr>
                <w:rFonts w:ascii="Arial" w:hAnsi="Arial" w:cs="Arial"/>
                <w:b/>
                <w:color w:val="1F497D" w:themeColor="text2"/>
                <w:sz w:val="24"/>
                <w:szCs w:val="24"/>
              </w:rPr>
              <w:t>Actual or anticipated outcome/ improvement</w:t>
            </w:r>
          </w:p>
        </w:tc>
      </w:tr>
      <w:tr w:rsidR="00340212" w:rsidRPr="003F0A3C" w14:paraId="52F85654" w14:textId="77777777" w:rsidTr="00BB733C">
        <w:trPr>
          <w:trHeight w:val="1033"/>
        </w:trPr>
        <w:tc>
          <w:tcPr>
            <w:tcW w:w="851" w:type="dxa"/>
            <w:tcBorders>
              <w:top w:val="nil"/>
              <w:left w:val="nil"/>
              <w:bottom w:val="nil"/>
            </w:tcBorders>
          </w:tcPr>
          <w:p w14:paraId="75329BEE" w14:textId="77777777" w:rsidR="00340212" w:rsidRPr="003F0A3C" w:rsidRDefault="00340212" w:rsidP="003F0A3C">
            <w:pPr>
              <w:spacing w:after="0" w:line="240" w:lineRule="auto"/>
              <w:rPr>
                <w:rFonts w:ascii="Tahoma" w:hAnsi="Tahoma" w:cs="Tahoma"/>
                <w:sz w:val="24"/>
                <w:szCs w:val="24"/>
              </w:rPr>
            </w:pPr>
          </w:p>
        </w:tc>
        <w:tc>
          <w:tcPr>
            <w:tcW w:w="426" w:type="dxa"/>
            <w:vMerge w:val="restart"/>
          </w:tcPr>
          <w:p w14:paraId="3194FE4F" w14:textId="77777777" w:rsidR="00340212" w:rsidRPr="00BB733C" w:rsidRDefault="00340212" w:rsidP="00CC3E87">
            <w:pPr>
              <w:spacing w:after="0" w:line="240" w:lineRule="auto"/>
              <w:rPr>
                <w:rFonts w:ascii="Arial" w:hAnsi="Arial" w:cs="Arial"/>
                <w:sz w:val="24"/>
                <w:szCs w:val="24"/>
              </w:rPr>
            </w:pPr>
            <w:r w:rsidRPr="00BB733C">
              <w:rPr>
                <w:rFonts w:ascii="Arial" w:hAnsi="Arial" w:cs="Arial"/>
                <w:sz w:val="24"/>
                <w:szCs w:val="24"/>
              </w:rPr>
              <w:t>1.</w:t>
            </w:r>
          </w:p>
          <w:p w14:paraId="3BECF87D" w14:textId="77777777" w:rsidR="00340212" w:rsidRPr="00BB733C" w:rsidRDefault="00340212" w:rsidP="00CC3E87">
            <w:pPr>
              <w:spacing w:line="240" w:lineRule="auto"/>
              <w:rPr>
                <w:rFonts w:ascii="Arial" w:hAnsi="Arial" w:cs="Arial"/>
                <w:sz w:val="24"/>
                <w:szCs w:val="24"/>
              </w:rPr>
            </w:pPr>
          </w:p>
        </w:tc>
        <w:tc>
          <w:tcPr>
            <w:tcW w:w="2268" w:type="dxa"/>
            <w:vMerge w:val="restart"/>
          </w:tcPr>
          <w:p w14:paraId="0D059A72" w14:textId="77777777" w:rsidR="00340212" w:rsidRPr="00BB733C" w:rsidRDefault="00340212" w:rsidP="00CC3E87">
            <w:pPr>
              <w:spacing w:line="240" w:lineRule="auto"/>
              <w:rPr>
                <w:rFonts w:ascii="Arial" w:hAnsi="Arial" w:cs="Arial"/>
                <w:sz w:val="24"/>
                <w:szCs w:val="24"/>
              </w:rPr>
            </w:pPr>
            <w:r w:rsidRPr="00BB733C">
              <w:rPr>
                <w:rFonts w:ascii="Arial" w:hAnsi="Arial" w:cs="Arial"/>
                <w:sz w:val="24"/>
                <w:szCs w:val="24"/>
              </w:rPr>
              <w:t xml:space="preserve">Boards and senior leaders conduct and plan their business so that equality is advanced, and good relations fostered, within their organisations and beyond </w:t>
            </w:r>
          </w:p>
          <w:p w14:paraId="2B02C262" w14:textId="77777777" w:rsidR="00340212" w:rsidRPr="00BB733C" w:rsidRDefault="00340212" w:rsidP="004D6E25">
            <w:pPr>
              <w:spacing w:line="240" w:lineRule="auto"/>
              <w:rPr>
                <w:rFonts w:ascii="Arial" w:hAnsi="Arial" w:cs="Arial"/>
                <w:sz w:val="24"/>
                <w:szCs w:val="24"/>
              </w:rPr>
            </w:pPr>
          </w:p>
        </w:tc>
        <w:tc>
          <w:tcPr>
            <w:tcW w:w="10206" w:type="dxa"/>
            <w:tcBorders>
              <w:bottom w:val="nil"/>
            </w:tcBorders>
          </w:tcPr>
          <w:p w14:paraId="23E80192" w14:textId="77777777" w:rsidR="00340212" w:rsidRPr="00BB733C" w:rsidRDefault="00340212" w:rsidP="0023205A">
            <w:pPr>
              <w:spacing w:after="0" w:line="240" w:lineRule="auto"/>
              <w:rPr>
                <w:rFonts w:ascii="Arial" w:hAnsi="Arial" w:cs="Arial"/>
                <w:sz w:val="24"/>
                <w:szCs w:val="24"/>
              </w:rPr>
            </w:pPr>
            <w:r w:rsidRPr="00BB733C">
              <w:rPr>
                <w:rFonts w:ascii="Arial" w:hAnsi="Arial" w:cs="Arial"/>
                <w:sz w:val="24"/>
                <w:szCs w:val="24"/>
              </w:rPr>
              <w:t>The Trust has an Equality, Diversity and Inclusion (EDI) Strategic Group that is Chaired by the Executive Director of Organisational Development and Human Resources and which reports into the Trust Board Workforce Committee. Membership includes Senior Leaders across different professions, including Nursing, Clinical, Staff Side Council, General Management, Human Resources and Staff Networks.  The Group meets bimonthly. With regards to patients, the Trust has a Patient Experience Sub-Committee that is Chaired by the Chief Nurse and which has an EDI standing agenda items. The Committee reports into the Trust Board Quality Assurance Group, includes membership from across Corporate Nursing, Patient Experience Team, Quality and Key Specialist Leads and meets bimonthly. The two EDI streams of work join and collaborate through the EDI Manager and Nurse Lead on EDI meeting monthly on a one-to-one basis.</w:t>
            </w:r>
          </w:p>
        </w:tc>
        <w:tc>
          <w:tcPr>
            <w:tcW w:w="2551" w:type="dxa"/>
            <w:tcBorders>
              <w:bottom w:val="single" w:sz="4" w:space="0" w:color="auto"/>
            </w:tcBorders>
          </w:tcPr>
          <w:p w14:paraId="1690FAF5" w14:textId="77777777" w:rsidR="00340212" w:rsidRPr="00BB733C" w:rsidRDefault="00340212" w:rsidP="0023205A">
            <w:pPr>
              <w:spacing w:after="0" w:line="240" w:lineRule="auto"/>
              <w:rPr>
                <w:rFonts w:ascii="Arial" w:hAnsi="Arial" w:cs="Arial"/>
                <w:sz w:val="24"/>
                <w:szCs w:val="24"/>
              </w:rPr>
            </w:pPr>
            <w:r w:rsidRPr="00BB733C">
              <w:rPr>
                <w:rFonts w:ascii="Arial" w:hAnsi="Arial" w:cs="Arial"/>
                <w:sz w:val="24"/>
                <w:szCs w:val="24"/>
              </w:rPr>
              <w:t xml:space="preserve">Leadership, direction and support is provided regularly on the EDI agenda </w:t>
            </w:r>
          </w:p>
        </w:tc>
      </w:tr>
      <w:tr w:rsidR="00340212" w:rsidRPr="003F0A3C" w14:paraId="4612D58C" w14:textId="77777777" w:rsidTr="00BB733C">
        <w:trPr>
          <w:trHeight w:val="935"/>
        </w:trPr>
        <w:tc>
          <w:tcPr>
            <w:tcW w:w="851" w:type="dxa"/>
            <w:tcBorders>
              <w:top w:val="nil"/>
              <w:left w:val="nil"/>
              <w:bottom w:val="nil"/>
            </w:tcBorders>
          </w:tcPr>
          <w:p w14:paraId="1C14BFBE" w14:textId="77777777" w:rsidR="00340212" w:rsidRPr="003F0A3C" w:rsidRDefault="00340212" w:rsidP="003F0A3C">
            <w:pPr>
              <w:spacing w:after="0" w:line="240" w:lineRule="auto"/>
              <w:rPr>
                <w:rFonts w:ascii="Tahoma" w:hAnsi="Tahoma" w:cs="Tahoma"/>
                <w:sz w:val="24"/>
                <w:szCs w:val="24"/>
              </w:rPr>
            </w:pPr>
          </w:p>
        </w:tc>
        <w:tc>
          <w:tcPr>
            <w:tcW w:w="426" w:type="dxa"/>
            <w:vMerge/>
          </w:tcPr>
          <w:p w14:paraId="630C8CBA" w14:textId="77777777" w:rsidR="00340212" w:rsidRPr="00BB733C" w:rsidRDefault="00340212" w:rsidP="003F0A3C">
            <w:pPr>
              <w:rPr>
                <w:rFonts w:ascii="Tahoma" w:hAnsi="Tahoma" w:cs="Tahoma"/>
                <w:sz w:val="24"/>
                <w:szCs w:val="24"/>
              </w:rPr>
            </w:pPr>
          </w:p>
        </w:tc>
        <w:tc>
          <w:tcPr>
            <w:tcW w:w="2268" w:type="dxa"/>
            <w:vMerge/>
            <w:tcBorders>
              <w:top w:val="nil"/>
            </w:tcBorders>
          </w:tcPr>
          <w:p w14:paraId="737F97F4" w14:textId="77777777" w:rsidR="00340212" w:rsidRPr="00BB733C" w:rsidRDefault="00340212" w:rsidP="003F0A3C">
            <w:pPr>
              <w:spacing w:after="0" w:line="240" w:lineRule="auto"/>
              <w:rPr>
                <w:rFonts w:ascii="Tahoma" w:hAnsi="Tahoma" w:cs="Tahoma"/>
                <w:sz w:val="24"/>
                <w:szCs w:val="24"/>
              </w:rPr>
            </w:pPr>
          </w:p>
        </w:tc>
        <w:tc>
          <w:tcPr>
            <w:tcW w:w="10206" w:type="dxa"/>
            <w:tcBorders>
              <w:top w:val="nil"/>
            </w:tcBorders>
          </w:tcPr>
          <w:p w14:paraId="00F56A6C" w14:textId="77777777" w:rsidR="00340212" w:rsidRPr="00BB733C" w:rsidRDefault="00340212" w:rsidP="004C268F">
            <w:pPr>
              <w:spacing w:after="0" w:line="240" w:lineRule="auto"/>
              <w:rPr>
                <w:rFonts w:ascii="Arial" w:hAnsi="Arial" w:cs="Arial"/>
                <w:sz w:val="24"/>
                <w:szCs w:val="24"/>
              </w:rPr>
            </w:pPr>
            <w:r w:rsidRPr="00BB733C">
              <w:rPr>
                <w:rFonts w:ascii="Arial" w:hAnsi="Arial" w:cs="Arial"/>
                <w:sz w:val="24"/>
                <w:szCs w:val="24"/>
              </w:rPr>
              <w:t>Board Members and Senior Managers are visible across the organisation through a series of formal and informal walkarounds where they are able to convey their commitment to Trust values ‘The Leeds Way’. Internal communications including ‘Start The Week’ bulletin provide examples and celebrate success against care and behaviours in line with the values. One of the five values is to be ‘Fair’.</w:t>
            </w:r>
          </w:p>
        </w:tc>
        <w:tc>
          <w:tcPr>
            <w:tcW w:w="2551" w:type="dxa"/>
          </w:tcPr>
          <w:p w14:paraId="62007199" w14:textId="77777777" w:rsidR="00340212" w:rsidRPr="00BB733C" w:rsidRDefault="00340212" w:rsidP="00B34019">
            <w:pPr>
              <w:spacing w:after="0" w:line="240" w:lineRule="auto"/>
              <w:rPr>
                <w:rFonts w:ascii="Arial" w:hAnsi="Arial" w:cs="Arial"/>
                <w:sz w:val="24"/>
                <w:szCs w:val="24"/>
              </w:rPr>
            </w:pPr>
            <w:r w:rsidRPr="00BB733C">
              <w:rPr>
                <w:rFonts w:ascii="Arial" w:hAnsi="Arial" w:cs="Arial"/>
                <w:sz w:val="24"/>
                <w:szCs w:val="24"/>
              </w:rPr>
              <w:t xml:space="preserve">Board Members and Senior Managers demonstrate and regularly remind staff of the importance and expectation that staff are fair  </w:t>
            </w:r>
          </w:p>
        </w:tc>
      </w:tr>
      <w:tr w:rsidR="00340212" w:rsidRPr="003F0A3C" w14:paraId="3A7A7F9C" w14:textId="77777777" w:rsidTr="00BB733C">
        <w:trPr>
          <w:trHeight w:val="113"/>
        </w:trPr>
        <w:tc>
          <w:tcPr>
            <w:tcW w:w="851" w:type="dxa"/>
            <w:tcBorders>
              <w:top w:val="nil"/>
              <w:left w:val="nil"/>
              <w:bottom w:val="nil"/>
            </w:tcBorders>
          </w:tcPr>
          <w:p w14:paraId="5B972E6E" w14:textId="77777777" w:rsidR="00340212" w:rsidRPr="003F0A3C" w:rsidRDefault="00340212" w:rsidP="003F0A3C">
            <w:pPr>
              <w:spacing w:after="0" w:line="240" w:lineRule="auto"/>
              <w:rPr>
                <w:rFonts w:ascii="Tahoma" w:hAnsi="Tahoma" w:cs="Tahoma"/>
                <w:sz w:val="24"/>
                <w:szCs w:val="24"/>
              </w:rPr>
            </w:pPr>
          </w:p>
        </w:tc>
        <w:tc>
          <w:tcPr>
            <w:tcW w:w="426" w:type="dxa"/>
            <w:vMerge/>
          </w:tcPr>
          <w:p w14:paraId="51DD123E" w14:textId="77777777" w:rsidR="00340212" w:rsidRPr="00BB733C" w:rsidRDefault="00340212" w:rsidP="003F0A3C">
            <w:pPr>
              <w:rPr>
                <w:rFonts w:ascii="Tahoma" w:hAnsi="Tahoma" w:cs="Tahoma"/>
                <w:sz w:val="24"/>
                <w:szCs w:val="24"/>
              </w:rPr>
            </w:pPr>
          </w:p>
        </w:tc>
        <w:tc>
          <w:tcPr>
            <w:tcW w:w="2268" w:type="dxa"/>
            <w:vMerge/>
          </w:tcPr>
          <w:p w14:paraId="2911BE06" w14:textId="77777777" w:rsidR="00340212" w:rsidRPr="00BB733C" w:rsidRDefault="00340212" w:rsidP="003F0A3C">
            <w:pPr>
              <w:spacing w:after="0" w:line="240" w:lineRule="auto"/>
              <w:rPr>
                <w:rFonts w:ascii="Tahoma" w:hAnsi="Tahoma" w:cs="Tahoma"/>
                <w:sz w:val="24"/>
                <w:szCs w:val="24"/>
              </w:rPr>
            </w:pPr>
          </w:p>
        </w:tc>
        <w:tc>
          <w:tcPr>
            <w:tcW w:w="10206" w:type="dxa"/>
          </w:tcPr>
          <w:p w14:paraId="28B3BC6E" w14:textId="77777777" w:rsidR="00340212" w:rsidRDefault="00340212" w:rsidP="00496968">
            <w:pPr>
              <w:spacing w:after="0" w:line="240" w:lineRule="auto"/>
              <w:rPr>
                <w:rFonts w:ascii="Arial" w:hAnsi="Arial" w:cs="Arial"/>
                <w:sz w:val="24"/>
                <w:szCs w:val="24"/>
              </w:rPr>
            </w:pPr>
            <w:r w:rsidRPr="00BB733C">
              <w:rPr>
                <w:rFonts w:ascii="Arial" w:hAnsi="Arial" w:cs="Arial"/>
                <w:sz w:val="24"/>
                <w:szCs w:val="24"/>
              </w:rPr>
              <w:t>Board Members protect time and engage in Inclusive Conversations as a team to identify in a psychological and supportive space areas for improvement as a team in relation to inclusion specifically. To date Trust Board have had two Inclusive Conversations.</w:t>
            </w:r>
          </w:p>
          <w:p w14:paraId="1250900C" w14:textId="77777777" w:rsidR="00BB733C" w:rsidRDefault="00BB733C" w:rsidP="00496968">
            <w:pPr>
              <w:spacing w:after="0" w:line="240" w:lineRule="auto"/>
              <w:rPr>
                <w:rFonts w:ascii="Arial" w:hAnsi="Arial" w:cs="Arial"/>
                <w:sz w:val="24"/>
                <w:szCs w:val="24"/>
              </w:rPr>
            </w:pPr>
          </w:p>
          <w:p w14:paraId="37B2C5CC" w14:textId="77777777" w:rsidR="00BB733C" w:rsidRDefault="00BB733C" w:rsidP="00496968">
            <w:pPr>
              <w:spacing w:after="0" w:line="240" w:lineRule="auto"/>
              <w:rPr>
                <w:rFonts w:ascii="Arial" w:hAnsi="Arial" w:cs="Arial"/>
                <w:sz w:val="24"/>
                <w:szCs w:val="24"/>
              </w:rPr>
            </w:pPr>
          </w:p>
          <w:p w14:paraId="605AE7BE" w14:textId="77777777" w:rsidR="00BB733C" w:rsidRPr="00BB733C" w:rsidRDefault="00BB733C" w:rsidP="00496968">
            <w:pPr>
              <w:spacing w:after="0" w:line="240" w:lineRule="auto"/>
              <w:rPr>
                <w:rFonts w:ascii="Arial" w:hAnsi="Arial" w:cs="Arial"/>
                <w:sz w:val="24"/>
                <w:szCs w:val="24"/>
              </w:rPr>
            </w:pPr>
          </w:p>
        </w:tc>
        <w:tc>
          <w:tcPr>
            <w:tcW w:w="2551" w:type="dxa"/>
          </w:tcPr>
          <w:p w14:paraId="1A794C8D" w14:textId="77777777" w:rsidR="00340212" w:rsidRPr="00BB733C" w:rsidRDefault="00340212" w:rsidP="00B34019">
            <w:pPr>
              <w:spacing w:after="0" w:line="240" w:lineRule="auto"/>
              <w:rPr>
                <w:rFonts w:ascii="Arial" w:hAnsi="Arial" w:cs="Arial"/>
                <w:sz w:val="24"/>
                <w:szCs w:val="24"/>
              </w:rPr>
            </w:pPr>
            <w:r w:rsidRPr="00BB733C">
              <w:rPr>
                <w:rFonts w:ascii="Arial" w:hAnsi="Arial" w:cs="Arial"/>
                <w:sz w:val="24"/>
                <w:szCs w:val="24"/>
              </w:rPr>
              <w:t xml:space="preserve">Board Members lead by example in ensuring inclusion starts with themselves as a team </w:t>
            </w:r>
          </w:p>
        </w:tc>
      </w:tr>
      <w:tr w:rsidR="00340212" w:rsidRPr="003F0A3C" w14:paraId="29C3223A" w14:textId="77777777" w:rsidTr="00BB733C">
        <w:trPr>
          <w:trHeight w:val="113"/>
        </w:trPr>
        <w:tc>
          <w:tcPr>
            <w:tcW w:w="851" w:type="dxa"/>
            <w:tcBorders>
              <w:top w:val="nil"/>
              <w:left w:val="nil"/>
              <w:bottom w:val="nil"/>
            </w:tcBorders>
          </w:tcPr>
          <w:p w14:paraId="087E5AF8" w14:textId="77777777" w:rsidR="00340212" w:rsidRPr="003F0A3C" w:rsidRDefault="00340212" w:rsidP="003F0A3C">
            <w:pPr>
              <w:spacing w:after="0" w:line="240" w:lineRule="auto"/>
              <w:rPr>
                <w:rFonts w:ascii="Tahoma" w:hAnsi="Tahoma" w:cs="Tahoma"/>
                <w:sz w:val="24"/>
                <w:szCs w:val="24"/>
              </w:rPr>
            </w:pPr>
          </w:p>
        </w:tc>
        <w:tc>
          <w:tcPr>
            <w:tcW w:w="426" w:type="dxa"/>
            <w:vMerge/>
          </w:tcPr>
          <w:p w14:paraId="727480A8" w14:textId="77777777" w:rsidR="00340212" w:rsidRPr="00BB733C" w:rsidRDefault="00340212" w:rsidP="003F0A3C">
            <w:pPr>
              <w:rPr>
                <w:rFonts w:ascii="Tahoma" w:hAnsi="Tahoma" w:cs="Tahoma"/>
                <w:sz w:val="24"/>
                <w:szCs w:val="24"/>
              </w:rPr>
            </w:pPr>
          </w:p>
        </w:tc>
        <w:tc>
          <w:tcPr>
            <w:tcW w:w="2268" w:type="dxa"/>
            <w:vMerge/>
          </w:tcPr>
          <w:p w14:paraId="7A789F72" w14:textId="77777777" w:rsidR="00340212" w:rsidRPr="00BB733C" w:rsidRDefault="00340212" w:rsidP="003F0A3C">
            <w:pPr>
              <w:spacing w:after="0" w:line="240" w:lineRule="auto"/>
              <w:rPr>
                <w:rFonts w:ascii="Tahoma" w:hAnsi="Tahoma" w:cs="Tahoma"/>
                <w:sz w:val="24"/>
                <w:szCs w:val="24"/>
              </w:rPr>
            </w:pPr>
          </w:p>
        </w:tc>
        <w:tc>
          <w:tcPr>
            <w:tcW w:w="10206" w:type="dxa"/>
          </w:tcPr>
          <w:p w14:paraId="0089C058" w14:textId="77777777" w:rsidR="00340212" w:rsidRPr="00BB733C" w:rsidRDefault="00340212" w:rsidP="00416819">
            <w:pPr>
              <w:spacing w:after="0" w:line="240" w:lineRule="auto"/>
              <w:rPr>
                <w:rFonts w:ascii="Arial" w:hAnsi="Arial" w:cs="Arial"/>
                <w:sz w:val="24"/>
                <w:szCs w:val="24"/>
              </w:rPr>
            </w:pPr>
            <w:r w:rsidRPr="00BB733C">
              <w:rPr>
                <w:rFonts w:ascii="Arial" w:hAnsi="Arial" w:cs="Arial"/>
                <w:sz w:val="24"/>
                <w:szCs w:val="24"/>
              </w:rPr>
              <w:t xml:space="preserve">All new starters receive a welcome from the Chief Executive on their first day at LTHT who emphasises the importance of The Leeds Way and the Executive Director of Organisational Development and Human Resources brings alive the value to be Fair through sharing their own experience, encouraging all staff to take accountability and stretch their comfort zone, consciously and proactively removing blind spots we all have as human beings. </w:t>
            </w:r>
          </w:p>
        </w:tc>
        <w:tc>
          <w:tcPr>
            <w:tcW w:w="2551" w:type="dxa"/>
            <w:vMerge w:val="restart"/>
          </w:tcPr>
          <w:p w14:paraId="3FA4A10C" w14:textId="77777777" w:rsidR="00340212" w:rsidRPr="00BB733C" w:rsidRDefault="00340212" w:rsidP="00B34019">
            <w:pPr>
              <w:spacing w:after="0" w:line="240" w:lineRule="auto"/>
              <w:rPr>
                <w:rFonts w:ascii="Arial" w:hAnsi="Arial" w:cs="Arial"/>
                <w:sz w:val="24"/>
                <w:szCs w:val="24"/>
              </w:rPr>
            </w:pPr>
            <w:r w:rsidRPr="00BB733C">
              <w:rPr>
                <w:rFonts w:ascii="Arial" w:hAnsi="Arial" w:cs="Arial"/>
                <w:sz w:val="24"/>
                <w:szCs w:val="24"/>
              </w:rPr>
              <w:t xml:space="preserve">Board Members and Senior Managers demonstrate and regularly remind staff of the importance and expectation that staff are fair  </w:t>
            </w:r>
          </w:p>
        </w:tc>
      </w:tr>
      <w:tr w:rsidR="00340212" w:rsidRPr="003F0A3C" w14:paraId="3F0A22E7" w14:textId="77777777" w:rsidTr="00BB733C">
        <w:trPr>
          <w:trHeight w:val="1195"/>
        </w:trPr>
        <w:tc>
          <w:tcPr>
            <w:tcW w:w="851" w:type="dxa"/>
            <w:tcBorders>
              <w:top w:val="nil"/>
              <w:left w:val="nil"/>
              <w:bottom w:val="nil"/>
            </w:tcBorders>
          </w:tcPr>
          <w:p w14:paraId="3E04DA58" w14:textId="77777777" w:rsidR="00340212" w:rsidRPr="003F0A3C" w:rsidRDefault="00340212" w:rsidP="003F0A3C">
            <w:pPr>
              <w:spacing w:after="0" w:line="240" w:lineRule="auto"/>
              <w:rPr>
                <w:rFonts w:ascii="Tahoma" w:hAnsi="Tahoma" w:cs="Tahoma"/>
                <w:sz w:val="24"/>
                <w:szCs w:val="24"/>
              </w:rPr>
            </w:pPr>
          </w:p>
        </w:tc>
        <w:tc>
          <w:tcPr>
            <w:tcW w:w="426" w:type="dxa"/>
            <w:vMerge/>
          </w:tcPr>
          <w:p w14:paraId="5B39428D" w14:textId="77777777" w:rsidR="00340212" w:rsidRPr="00BB733C" w:rsidRDefault="00340212" w:rsidP="003F0A3C">
            <w:pPr>
              <w:rPr>
                <w:rFonts w:ascii="Tahoma" w:hAnsi="Tahoma" w:cs="Tahoma"/>
                <w:sz w:val="24"/>
                <w:szCs w:val="24"/>
              </w:rPr>
            </w:pPr>
          </w:p>
        </w:tc>
        <w:tc>
          <w:tcPr>
            <w:tcW w:w="2268" w:type="dxa"/>
            <w:vMerge/>
          </w:tcPr>
          <w:p w14:paraId="3EBAFA3B" w14:textId="77777777" w:rsidR="00340212" w:rsidRPr="00BB733C" w:rsidRDefault="00340212" w:rsidP="003F0A3C">
            <w:pPr>
              <w:spacing w:after="0" w:line="240" w:lineRule="auto"/>
              <w:rPr>
                <w:rFonts w:ascii="Tahoma" w:hAnsi="Tahoma" w:cs="Tahoma"/>
                <w:sz w:val="24"/>
                <w:szCs w:val="24"/>
              </w:rPr>
            </w:pPr>
          </w:p>
        </w:tc>
        <w:tc>
          <w:tcPr>
            <w:tcW w:w="10206" w:type="dxa"/>
            <w:vMerge w:val="restart"/>
          </w:tcPr>
          <w:p w14:paraId="261E8F90" w14:textId="77777777" w:rsidR="00340212" w:rsidRPr="00BB733C" w:rsidRDefault="00340212" w:rsidP="00E94415">
            <w:pPr>
              <w:spacing w:after="0" w:line="240" w:lineRule="auto"/>
              <w:rPr>
                <w:rFonts w:ascii="Arial" w:hAnsi="Arial" w:cs="Arial"/>
                <w:sz w:val="24"/>
                <w:szCs w:val="24"/>
              </w:rPr>
            </w:pPr>
            <w:r w:rsidRPr="00BB733C">
              <w:rPr>
                <w:rFonts w:ascii="Arial" w:hAnsi="Arial" w:cs="Arial"/>
                <w:sz w:val="24"/>
                <w:szCs w:val="24"/>
              </w:rPr>
              <w:t>EDI Communications Plan including staff and patient engagement/feedback wrapped around key cultural events consistently provide opportunities for Board Members and Senior Leaders to demonstrate support of particular areas of equality.</w:t>
            </w:r>
          </w:p>
        </w:tc>
        <w:tc>
          <w:tcPr>
            <w:tcW w:w="2551" w:type="dxa"/>
            <w:vMerge/>
          </w:tcPr>
          <w:p w14:paraId="7D7650E3" w14:textId="77777777" w:rsidR="00340212" w:rsidRPr="00BB733C" w:rsidRDefault="00340212" w:rsidP="00B34019">
            <w:pPr>
              <w:spacing w:after="0" w:line="240" w:lineRule="auto"/>
              <w:rPr>
                <w:rFonts w:ascii="Arial" w:hAnsi="Arial" w:cs="Arial"/>
                <w:sz w:val="24"/>
                <w:szCs w:val="24"/>
              </w:rPr>
            </w:pPr>
          </w:p>
        </w:tc>
      </w:tr>
      <w:tr w:rsidR="00340212" w:rsidRPr="003F0A3C" w14:paraId="65AED9A1" w14:textId="77777777" w:rsidTr="00BB733C">
        <w:trPr>
          <w:trHeight w:val="70"/>
        </w:trPr>
        <w:tc>
          <w:tcPr>
            <w:tcW w:w="851" w:type="dxa"/>
            <w:tcBorders>
              <w:top w:val="nil"/>
              <w:left w:val="nil"/>
              <w:bottom w:val="nil"/>
            </w:tcBorders>
          </w:tcPr>
          <w:p w14:paraId="02E9DD4D" w14:textId="77777777" w:rsidR="00340212" w:rsidRPr="003F0A3C" w:rsidRDefault="00340212" w:rsidP="003F0A3C">
            <w:pPr>
              <w:spacing w:after="0" w:line="240" w:lineRule="auto"/>
              <w:rPr>
                <w:rFonts w:ascii="Tahoma" w:hAnsi="Tahoma" w:cs="Tahoma"/>
                <w:sz w:val="24"/>
                <w:szCs w:val="24"/>
              </w:rPr>
            </w:pPr>
          </w:p>
        </w:tc>
        <w:tc>
          <w:tcPr>
            <w:tcW w:w="426" w:type="dxa"/>
            <w:vMerge/>
          </w:tcPr>
          <w:p w14:paraId="60DB7D3B" w14:textId="77777777" w:rsidR="00340212" w:rsidRPr="00BB733C" w:rsidRDefault="00340212" w:rsidP="003F0A3C">
            <w:pPr>
              <w:rPr>
                <w:rFonts w:ascii="Tahoma" w:hAnsi="Tahoma" w:cs="Tahoma"/>
                <w:sz w:val="24"/>
                <w:szCs w:val="24"/>
              </w:rPr>
            </w:pPr>
          </w:p>
        </w:tc>
        <w:tc>
          <w:tcPr>
            <w:tcW w:w="2268" w:type="dxa"/>
            <w:vMerge/>
          </w:tcPr>
          <w:p w14:paraId="5F602B5B" w14:textId="77777777" w:rsidR="00340212" w:rsidRPr="00BB733C" w:rsidRDefault="00340212" w:rsidP="003F0A3C">
            <w:pPr>
              <w:spacing w:after="0" w:line="240" w:lineRule="auto"/>
              <w:rPr>
                <w:rFonts w:ascii="Tahoma" w:hAnsi="Tahoma" w:cs="Tahoma"/>
                <w:sz w:val="24"/>
                <w:szCs w:val="24"/>
              </w:rPr>
            </w:pPr>
          </w:p>
        </w:tc>
        <w:tc>
          <w:tcPr>
            <w:tcW w:w="10206" w:type="dxa"/>
            <w:vMerge/>
          </w:tcPr>
          <w:p w14:paraId="076C3A9F" w14:textId="77777777" w:rsidR="00340212" w:rsidRPr="00BB733C" w:rsidRDefault="00340212" w:rsidP="003F0A3C">
            <w:pPr>
              <w:spacing w:after="0" w:line="240" w:lineRule="auto"/>
              <w:rPr>
                <w:rFonts w:ascii="Arial" w:hAnsi="Arial" w:cs="Arial"/>
                <w:sz w:val="24"/>
                <w:szCs w:val="24"/>
              </w:rPr>
            </w:pPr>
          </w:p>
        </w:tc>
        <w:tc>
          <w:tcPr>
            <w:tcW w:w="2551" w:type="dxa"/>
            <w:vMerge/>
          </w:tcPr>
          <w:p w14:paraId="5E11A334" w14:textId="77777777" w:rsidR="00340212" w:rsidRPr="00BB733C" w:rsidRDefault="00340212" w:rsidP="00B34019">
            <w:pPr>
              <w:spacing w:after="0" w:line="240" w:lineRule="auto"/>
              <w:rPr>
                <w:rFonts w:ascii="Arial" w:hAnsi="Arial" w:cs="Arial"/>
                <w:sz w:val="24"/>
                <w:szCs w:val="24"/>
              </w:rPr>
            </w:pPr>
          </w:p>
        </w:tc>
      </w:tr>
      <w:tr w:rsidR="00340212" w:rsidRPr="003F0A3C" w14:paraId="659CB962" w14:textId="77777777" w:rsidTr="00BB733C">
        <w:trPr>
          <w:trHeight w:val="926"/>
        </w:trPr>
        <w:tc>
          <w:tcPr>
            <w:tcW w:w="851" w:type="dxa"/>
            <w:tcBorders>
              <w:top w:val="nil"/>
              <w:left w:val="nil"/>
              <w:bottom w:val="nil"/>
            </w:tcBorders>
          </w:tcPr>
          <w:p w14:paraId="7FDFEA39" w14:textId="77777777" w:rsidR="00340212" w:rsidRPr="003F0A3C" w:rsidRDefault="00340212" w:rsidP="003F0A3C">
            <w:pPr>
              <w:spacing w:after="0" w:line="240" w:lineRule="auto"/>
              <w:rPr>
                <w:rFonts w:ascii="Tahoma" w:hAnsi="Tahoma" w:cs="Tahoma"/>
                <w:sz w:val="24"/>
                <w:szCs w:val="24"/>
              </w:rPr>
            </w:pPr>
          </w:p>
        </w:tc>
        <w:tc>
          <w:tcPr>
            <w:tcW w:w="426" w:type="dxa"/>
            <w:vMerge/>
          </w:tcPr>
          <w:p w14:paraId="4C298CC2" w14:textId="77777777" w:rsidR="00340212" w:rsidRPr="00BB733C" w:rsidRDefault="00340212" w:rsidP="003F0A3C">
            <w:pPr>
              <w:spacing w:after="0" w:line="240" w:lineRule="auto"/>
              <w:rPr>
                <w:rFonts w:ascii="Tahoma" w:hAnsi="Tahoma" w:cs="Tahoma"/>
                <w:sz w:val="24"/>
                <w:szCs w:val="24"/>
              </w:rPr>
            </w:pPr>
          </w:p>
        </w:tc>
        <w:tc>
          <w:tcPr>
            <w:tcW w:w="2268" w:type="dxa"/>
            <w:vMerge/>
          </w:tcPr>
          <w:p w14:paraId="7109D8A6" w14:textId="77777777" w:rsidR="00340212" w:rsidRPr="00BB733C" w:rsidRDefault="00340212" w:rsidP="003F0A3C">
            <w:pPr>
              <w:spacing w:after="0" w:line="240" w:lineRule="auto"/>
              <w:rPr>
                <w:rFonts w:ascii="Tahoma" w:hAnsi="Tahoma" w:cs="Tahoma"/>
                <w:sz w:val="24"/>
                <w:szCs w:val="24"/>
              </w:rPr>
            </w:pPr>
          </w:p>
        </w:tc>
        <w:tc>
          <w:tcPr>
            <w:tcW w:w="10206" w:type="dxa"/>
          </w:tcPr>
          <w:p w14:paraId="21C940E8" w14:textId="77777777" w:rsidR="00340212" w:rsidRPr="00BB733C" w:rsidRDefault="00340212" w:rsidP="00D054AA">
            <w:pPr>
              <w:spacing w:after="0" w:line="240" w:lineRule="auto"/>
              <w:rPr>
                <w:rFonts w:ascii="Arial" w:hAnsi="Arial" w:cs="Arial"/>
                <w:sz w:val="24"/>
                <w:szCs w:val="24"/>
                <w:lang w:eastAsia="en-GB"/>
              </w:rPr>
            </w:pPr>
            <w:r w:rsidRPr="00BB733C">
              <w:rPr>
                <w:rFonts w:ascii="Arial" w:hAnsi="Arial" w:cs="Arial"/>
                <w:sz w:val="24"/>
                <w:szCs w:val="24"/>
                <w:lang w:eastAsia="en-GB"/>
              </w:rPr>
              <w:t xml:space="preserve">Trust Board consideration and approval of comprehensive equality information on an annual basis, including key findings and key actions to address any inequalities identified. </w:t>
            </w:r>
          </w:p>
        </w:tc>
        <w:tc>
          <w:tcPr>
            <w:tcW w:w="2551" w:type="dxa"/>
          </w:tcPr>
          <w:p w14:paraId="40CBCDA3" w14:textId="77777777" w:rsidR="00340212" w:rsidRPr="00BB733C" w:rsidRDefault="00340212" w:rsidP="00B34019">
            <w:pPr>
              <w:spacing w:after="0" w:line="240" w:lineRule="auto"/>
              <w:rPr>
                <w:rFonts w:ascii="Arial" w:hAnsi="Arial" w:cs="Arial"/>
                <w:sz w:val="24"/>
                <w:szCs w:val="24"/>
              </w:rPr>
            </w:pPr>
            <w:r w:rsidRPr="00BB733C">
              <w:rPr>
                <w:rFonts w:ascii="Arial" w:hAnsi="Arial" w:cs="Arial"/>
                <w:sz w:val="24"/>
                <w:szCs w:val="24"/>
              </w:rPr>
              <w:t xml:space="preserve">Trust Board comprehensive knowledge of inequalities for which the Trust is responsible for </w:t>
            </w:r>
          </w:p>
        </w:tc>
      </w:tr>
      <w:tr w:rsidR="00340212" w:rsidRPr="003F0A3C" w14:paraId="787AC74A" w14:textId="77777777" w:rsidTr="00BB733C">
        <w:trPr>
          <w:trHeight w:val="483"/>
        </w:trPr>
        <w:tc>
          <w:tcPr>
            <w:tcW w:w="851" w:type="dxa"/>
            <w:tcBorders>
              <w:top w:val="nil"/>
              <w:left w:val="nil"/>
              <w:bottom w:val="nil"/>
            </w:tcBorders>
          </w:tcPr>
          <w:p w14:paraId="4880D645" w14:textId="77777777" w:rsidR="00340212" w:rsidRPr="003F0A3C" w:rsidRDefault="00340212" w:rsidP="003F0A3C">
            <w:pPr>
              <w:spacing w:after="0" w:line="240" w:lineRule="auto"/>
              <w:rPr>
                <w:rFonts w:ascii="Tahoma" w:hAnsi="Tahoma" w:cs="Tahoma"/>
                <w:sz w:val="24"/>
                <w:szCs w:val="24"/>
              </w:rPr>
            </w:pPr>
          </w:p>
        </w:tc>
        <w:tc>
          <w:tcPr>
            <w:tcW w:w="426" w:type="dxa"/>
            <w:vMerge/>
          </w:tcPr>
          <w:p w14:paraId="11A8DD9A" w14:textId="77777777" w:rsidR="00340212" w:rsidRPr="00BB733C" w:rsidRDefault="00340212" w:rsidP="003F0A3C">
            <w:pPr>
              <w:spacing w:after="0" w:line="240" w:lineRule="auto"/>
              <w:rPr>
                <w:rFonts w:ascii="Tahoma" w:hAnsi="Tahoma" w:cs="Tahoma"/>
                <w:sz w:val="24"/>
                <w:szCs w:val="24"/>
              </w:rPr>
            </w:pPr>
          </w:p>
        </w:tc>
        <w:tc>
          <w:tcPr>
            <w:tcW w:w="2268" w:type="dxa"/>
            <w:vMerge/>
          </w:tcPr>
          <w:p w14:paraId="164A09D5" w14:textId="77777777" w:rsidR="00340212" w:rsidRPr="00BB733C" w:rsidRDefault="00340212" w:rsidP="003F0A3C">
            <w:pPr>
              <w:spacing w:after="0" w:line="240" w:lineRule="auto"/>
              <w:rPr>
                <w:rFonts w:ascii="Tahoma" w:hAnsi="Tahoma" w:cs="Tahoma"/>
                <w:sz w:val="24"/>
                <w:szCs w:val="24"/>
              </w:rPr>
            </w:pPr>
          </w:p>
        </w:tc>
        <w:tc>
          <w:tcPr>
            <w:tcW w:w="12757" w:type="dxa"/>
            <w:gridSpan w:val="2"/>
          </w:tcPr>
          <w:p w14:paraId="3167DC4A" w14:textId="77777777" w:rsidR="00340212" w:rsidRPr="00BB733C" w:rsidRDefault="00340212" w:rsidP="000D718C">
            <w:pPr>
              <w:spacing w:after="0" w:line="240" w:lineRule="auto"/>
              <w:rPr>
                <w:rFonts w:ascii="Arial" w:hAnsi="Arial" w:cs="Arial"/>
                <w:sz w:val="24"/>
                <w:szCs w:val="24"/>
              </w:rPr>
            </w:pPr>
            <w:r w:rsidRPr="00BB733C">
              <w:rPr>
                <w:rFonts w:ascii="Arial" w:hAnsi="Arial" w:cs="Arial"/>
                <w:sz w:val="24"/>
                <w:szCs w:val="24"/>
                <w:lang w:eastAsia="en-GB"/>
              </w:rPr>
              <w:t>Refer to Goal Three and Outcomes 1 (Free From Discrimination People Priority), 3 (Reciprocal Mentoring) and 4 (Staff Network Executive Sponsors)</w:t>
            </w:r>
          </w:p>
        </w:tc>
      </w:tr>
    </w:tbl>
    <w:p w14:paraId="193C5BDE" w14:textId="77777777" w:rsidR="009C3240" w:rsidRDefault="009C3240">
      <w:r>
        <w:br w:type="page"/>
      </w:r>
    </w:p>
    <w:tbl>
      <w:tblPr>
        <w:tblW w:w="163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26"/>
        <w:gridCol w:w="2268"/>
        <w:gridCol w:w="10206"/>
        <w:gridCol w:w="2551"/>
      </w:tblGrid>
      <w:tr w:rsidR="00340212" w:rsidRPr="00BB733C" w14:paraId="4913F298" w14:textId="77777777" w:rsidTr="00BB733C">
        <w:trPr>
          <w:trHeight w:val="819"/>
        </w:trPr>
        <w:tc>
          <w:tcPr>
            <w:tcW w:w="851" w:type="dxa"/>
            <w:tcBorders>
              <w:top w:val="nil"/>
              <w:left w:val="nil"/>
              <w:bottom w:val="nil"/>
            </w:tcBorders>
          </w:tcPr>
          <w:p w14:paraId="3B9D2266" w14:textId="77777777" w:rsidR="00340212" w:rsidRPr="00BB733C" w:rsidRDefault="00340212" w:rsidP="003F0A3C">
            <w:pPr>
              <w:spacing w:after="0" w:line="240" w:lineRule="auto"/>
              <w:rPr>
                <w:rFonts w:ascii="Arial" w:hAnsi="Arial" w:cs="Arial"/>
                <w:sz w:val="24"/>
                <w:szCs w:val="24"/>
              </w:rPr>
            </w:pPr>
          </w:p>
        </w:tc>
        <w:tc>
          <w:tcPr>
            <w:tcW w:w="426" w:type="dxa"/>
            <w:vMerge w:val="restart"/>
          </w:tcPr>
          <w:p w14:paraId="163D793A" w14:textId="77777777" w:rsidR="00340212" w:rsidRPr="00BB733C" w:rsidRDefault="00340212" w:rsidP="003F0A3C">
            <w:pPr>
              <w:rPr>
                <w:rFonts w:ascii="Arial" w:hAnsi="Arial" w:cs="Arial"/>
                <w:sz w:val="24"/>
                <w:szCs w:val="24"/>
              </w:rPr>
            </w:pPr>
            <w:r w:rsidRPr="00BB733C">
              <w:rPr>
                <w:rFonts w:ascii="Arial" w:hAnsi="Arial" w:cs="Arial"/>
                <w:sz w:val="24"/>
                <w:szCs w:val="24"/>
              </w:rPr>
              <w:t>2.</w:t>
            </w:r>
          </w:p>
        </w:tc>
        <w:tc>
          <w:tcPr>
            <w:tcW w:w="2268" w:type="dxa"/>
            <w:vMerge w:val="restart"/>
          </w:tcPr>
          <w:p w14:paraId="4F605533" w14:textId="77777777" w:rsidR="00340212" w:rsidRPr="00BB733C" w:rsidRDefault="00340212" w:rsidP="003F0A3C">
            <w:pPr>
              <w:spacing w:after="0" w:line="240" w:lineRule="auto"/>
              <w:rPr>
                <w:rStyle w:val="A5"/>
                <w:rFonts w:ascii="Arial" w:hAnsi="Arial" w:cs="Arial"/>
                <w:sz w:val="24"/>
                <w:szCs w:val="24"/>
              </w:rPr>
            </w:pPr>
            <w:r w:rsidRPr="00BB733C">
              <w:rPr>
                <w:rStyle w:val="A5"/>
                <w:rFonts w:ascii="Arial" w:hAnsi="Arial" w:cs="Arial"/>
                <w:sz w:val="24"/>
                <w:szCs w:val="24"/>
              </w:rPr>
              <w:t>Papers that come before the Board and other major Committees identify equality-related impacts including risks, and say how these risks are to be managed</w:t>
            </w:r>
          </w:p>
          <w:p w14:paraId="3DB16908" w14:textId="77777777" w:rsidR="00340212" w:rsidRPr="00BB733C" w:rsidRDefault="00340212" w:rsidP="003F0A3C">
            <w:pPr>
              <w:rPr>
                <w:rStyle w:val="A5"/>
                <w:rFonts w:ascii="Arial" w:hAnsi="Arial" w:cs="Arial"/>
                <w:sz w:val="24"/>
                <w:szCs w:val="24"/>
              </w:rPr>
            </w:pPr>
          </w:p>
        </w:tc>
        <w:tc>
          <w:tcPr>
            <w:tcW w:w="10206" w:type="dxa"/>
          </w:tcPr>
          <w:p w14:paraId="5A173A23" w14:textId="77777777" w:rsidR="00340212" w:rsidRPr="00BB733C" w:rsidRDefault="00340212" w:rsidP="000D718C">
            <w:pPr>
              <w:spacing w:after="0" w:line="240" w:lineRule="auto"/>
              <w:rPr>
                <w:rFonts w:ascii="Arial" w:hAnsi="Arial" w:cs="Arial"/>
                <w:sz w:val="24"/>
                <w:szCs w:val="24"/>
              </w:rPr>
            </w:pPr>
            <w:r w:rsidRPr="00BB733C">
              <w:rPr>
                <w:rFonts w:ascii="Arial" w:hAnsi="Arial" w:cs="Arial"/>
                <w:sz w:val="24"/>
                <w:szCs w:val="24"/>
              </w:rPr>
              <w:t>All reports to the Trust Board and formal Committees follow a standard reporting template requesting confirmation that there has been due regard to equality and confirmation of equality impact assessment and outcomes.</w:t>
            </w:r>
          </w:p>
        </w:tc>
        <w:tc>
          <w:tcPr>
            <w:tcW w:w="2551" w:type="dxa"/>
          </w:tcPr>
          <w:p w14:paraId="481E2F93" w14:textId="77777777" w:rsidR="00340212" w:rsidRPr="00BB733C" w:rsidRDefault="00340212" w:rsidP="003F0A3C">
            <w:pPr>
              <w:spacing w:after="0" w:line="240" w:lineRule="auto"/>
              <w:rPr>
                <w:rFonts w:ascii="Arial" w:hAnsi="Arial" w:cs="Arial"/>
                <w:sz w:val="24"/>
                <w:szCs w:val="24"/>
              </w:rPr>
            </w:pPr>
            <w:r w:rsidRPr="00BB733C">
              <w:rPr>
                <w:rFonts w:ascii="Arial" w:hAnsi="Arial" w:cs="Arial"/>
                <w:sz w:val="24"/>
                <w:szCs w:val="24"/>
              </w:rPr>
              <w:t>Due regard to equality in the making of key decisions that have an impact on staff, patients, carers and the public</w:t>
            </w:r>
          </w:p>
        </w:tc>
      </w:tr>
      <w:tr w:rsidR="00340212" w:rsidRPr="00BB733C" w14:paraId="3DA5BEE7" w14:textId="77777777" w:rsidTr="00BB733C">
        <w:trPr>
          <w:trHeight w:val="1498"/>
        </w:trPr>
        <w:tc>
          <w:tcPr>
            <w:tcW w:w="851" w:type="dxa"/>
            <w:tcBorders>
              <w:top w:val="nil"/>
              <w:left w:val="nil"/>
              <w:bottom w:val="nil"/>
            </w:tcBorders>
          </w:tcPr>
          <w:p w14:paraId="1D4E830B" w14:textId="77777777" w:rsidR="00340212" w:rsidRPr="00BB733C" w:rsidRDefault="00340212" w:rsidP="003F0A3C">
            <w:pPr>
              <w:spacing w:after="0" w:line="240" w:lineRule="auto"/>
              <w:rPr>
                <w:rFonts w:ascii="Arial" w:hAnsi="Arial" w:cs="Arial"/>
                <w:sz w:val="24"/>
                <w:szCs w:val="24"/>
              </w:rPr>
            </w:pPr>
          </w:p>
        </w:tc>
        <w:tc>
          <w:tcPr>
            <w:tcW w:w="426" w:type="dxa"/>
            <w:vMerge/>
          </w:tcPr>
          <w:p w14:paraId="6805FDF5" w14:textId="77777777" w:rsidR="00340212" w:rsidRPr="00BB733C" w:rsidRDefault="00340212" w:rsidP="003F0A3C">
            <w:pPr>
              <w:rPr>
                <w:rFonts w:ascii="Arial" w:hAnsi="Arial" w:cs="Arial"/>
                <w:sz w:val="24"/>
                <w:szCs w:val="24"/>
              </w:rPr>
            </w:pPr>
          </w:p>
        </w:tc>
        <w:tc>
          <w:tcPr>
            <w:tcW w:w="2268" w:type="dxa"/>
            <w:vMerge/>
          </w:tcPr>
          <w:p w14:paraId="48EC8C5A" w14:textId="77777777" w:rsidR="00340212" w:rsidRPr="00BB733C" w:rsidRDefault="00340212" w:rsidP="003F0A3C">
            <w:pPr>
              <w:rPr>
                <w:rStyle w:val="A5"/>
                <w:rFonts w:ascii="Arial" w:hAnsi="Arial" w:cs="Arial"/>
                <w:sz w:val="24"/>
                <w:szCs w:val="24"/>
              </w:rPr>
            </w:pPr>
          </w:p>
        </w:tc>
        <w:tc>
          <w:tcPr>
            <w:tcW w:w="10206" w:type="dxa"/>
          </w:tcPr>
          <w:p w14:paraId="35D12533" w14:textId="77777777" w:rsidR="00340212" w:rsidRPr="00BB733C" w:rsidRDefault="00340212" w:rsidP="00630E66">
            <w:pPr>
              <w:spacing w:after="0" w:line="240" w:lineRule="auto"/>
              <w:rPr>
                <w:rFonts w:ascii="Arial" w:hAnsi="Arial" w:cs="Arial"/>
                <w:sz w:val="24"/>
                <w:szCs w:val="24"/>
              </w:rPr>
            </w:pPr>
            <w:r w:rsidRPr="00BB733C">
              <w:rPr>
                <w:rFonts w:ascii="Arial" w:hAnsi="Arial" w:cs="Arial"/>
                <w:sz w:val="24"/>
                <w:szCs w:val="24"/>
              </w:rPr>
              <w:t>Due regard to equality is required for approval of all policies and procedures by the Policy, Procedure and Review Group, which has delegated authority from the Executive Team and which has membership including the EDI Manager. In organisational change projects involving staff, senior HR officers support line managers in undertaking their duty to prepare equality impact assessments on the proposed change and to then take this into consideration in implementing that change.</w:t>
            </w:r>
          </w:p>
        </w:tc>
        <w:tc>
          <w:tcPr>
            <w:tcW w:w="2551" w:type="dxa"/>
          </w:tcPr>
          <w:p w14:paraId="338CDA76" w14:textId="77777777" w:rsidR="00340212" w:rsidRPr="00BB733C" w:rsidRDefault="00340212" w:rsidP="003F0A3C">
            <w:pPr>
              <w:spacing w:after="0" w:line="240" w:lineRule="auto"/>
              <w:rPr>
                <w:rFonts w:ascii="Arial" w:hAnsi="Arial" w:cs="Arial"/>
                <w:sz w:val="24"/>
                <w:szCs w:val="24"/>
              </w:rPr>
            </w:pPr>
            <w:r w:rsidRPr="00BB733C">
              <w:rPr>
                <w:rFonts w:ascii="Arial" w:hAnsi="Arial" w:cs="Arial"/>
                <w:sz w:val="24"/>
                <w:szCs w:val="24"/>
              </w:rPr>
              <w:t xml:space="preserve">Inequalities identified and mitigated as far as reasonably possible in the development and approval of policy, procedure and service change </w:t>
            </w:r>
          </w:p>
        </w:tc>
      </w:tr>
      <w:tr w:rsidR="00340212" w:rsidRPr="00BB733C" w14:paraId="01485C93" w14:textId="77777777" w:rsidTr="00BB733C">
        <w:trPr>
          <w:trHeight w:val="1237"/>
        </w:trPr>
        <w:tc>
          <w:tcPr>
            <w:tcW w:w="851" w:type="dxa"/>
            <w:tcBorders>
              <w:top w:val="nil"/>
              <w:left w:val="nil"/>
              <w:bottom w:val="nil"/>
            </w:tcBorders>
          </w:tcPr>
          <w:p w14:paraId="1A997C30" w14:textId="77777777" w:rsidR="00340212" w:rsidRPr="00BB733C" w:rsidRDefault="00340212" w:rsidP="003F0A3C">
            <w:pPr>
              <w:spacing w:after="0" w:line="240" w:lineRule="auto"/>
              <w:rPr>
                <w:rFonts w:ascii="Arial" w:hAnsi="Arial" w:cs="Arial"/>
                <w:sz w:val="24"/>
                <w:szCs w:val="24"/>
              </w:rPr>
            </w:pPr>
          </w:p>
        </w:tc>
        <w:tc>
          <w:tcPr>
            <w:tcW w:w="426" w:type="dxa"/>
            <w:vMerge/>
          </w:tcPr>
          <w:p w14:paraId="0D3DEFDE" w14:textId="77777777" w:rsidR="00340212" w:rsidRPr="00BB733C" w:rsidRDefault="00340212" w:rsidP="003F0A3C">
            <w:pPr>
              <w:spacing w:after="0" w:line="240" w:lineRule="auto"/>
              <w:rPr>
                <w:rFonts w:ascii="Arial" w:hAnsi="Arial" w:cs="Arial"/>
                <w:sz w:val="24"/>
                <w:szCs w:val="24"/>
              </w:rPr>
            </w:pPr>
          </w:p>
        </w:tc>
        <w:tc>
          <w:tcPr>
            <w:tcW w:w="2268" w:type="dxa"/>
            <w:vMerge/>
          </w:tcPr>
          <w:p w14:paraId="1C27D47E" w14:textId="77777777" w:rsidR="00340212" w:rsidRPr="00BB733C" w:rsidRDefault="00340212" w:rsidP="003F0A3C">
            <w:pPr>
              <w:spacing w:after="0" w:line="240" w:lineRule="auto"/>
              <w:rPr>
                <w:rFonts w:ascii="Arial" w:hAnsi="Arial" w:cs="Arial"/>
                <w:sz w:val="24"/>
                <w:szCs w:val="24"/>
              </w:rPr>
            </w:pPr>
          </w:p>
        </w:tc>
        <w:tc>
          <w:tcPr>
            <w:tcW w:w="10206" w:type="dxa"/>
          </w:tcPr>
          <w:p w14:paraId="3F0FAC22" w14:textId="77777777" w:rsidR="00340212" w:rsidRPr="00BB733C" w:rsidRDefault="00340212" w:rsidP="00FA1713">
            <w:pPr>
              <w:spacing w:after="0" w:line="240" w:lineRule="auto"/>
              <w:rPr>
                <w:rFonts w:ascii="Arial" w:hAnsi="Arial" w:cs="Arial"/>
                <w:sz w:val="24"/>
                <w:szCs w:val="24"/>
              </w:rPr>
            </w:pPr>
            <w:r w:rsidRPr="00BB733C">
              <w:rPr>
                <w:rFonts w:ascii="Arial" w:hAnsi="Arial" w:cs="Arial"/>
                <w:sz w:val="24"/>
                <w:szCs w:val="24"/>
              </w:rPr>
              <w:t xml:space="preserve">A robust risk assessment and management is in place across the Trust where corporate functions and Clinical Service Units present their risks and mitigating actions. Consideration of equality risks are incorporated into these discussions where appropriate with the support of the Patient Experience Team and Senior HR Business Partners. </w:t>
            </w:r>
          </w:p>
        </w:tc>
        <w:tc>
          <w:tcPr>
            <w:tcW w:w="2551" w:type="dxa"/>
          </w:tcPr>
          <w:p w14:paraId="574B5D55" w14:textId="77777777" w:rsidR="00340212" w:rsidRPr="00BB733C" w:rsidRDefault="00340212" w:rsidP="003F0A3C">
            <w:pPr>
              <w:spacing w:after="0" w:line="240" w:lineRule="auto"/>
              <w:rPr>
                <w:rFonts w:ascii="Arial" w:hAnsi="Arial" w:cs="Arial"/>
                <w:sz w:val="24"/>
                <w:szCs w:val="24"/>
              </w:rPr>
            </w:pPr>
            <w:r w:rsidRPr="00BB733C">
              <w:rPr>
                <w:rFonts w:ascii="Arial" w:hAnsi="Arial" w:cs="Arial"/>
                <w:sz w:val="24"/>
                <w:szCs w:val="24"/>
              </w:rPr>
              <w:t>Equality risks identified and mitigated as far as reasonably possible within CSUs</w:t>
            </w:r>
          </w:p>
        </w:tc>
      </w:tr>
      <w:tr w:rsidR="00340212" w:rsidRPr="00BB733C" w14:paraId="222A9753" w14:textId="77777777" w:rsidTr="00BB733C">
        <w:trPr>
          <w:trHeight w:val="1135"/>
        </w:trPr>
        <w:tc>
          <w:tcPr>
            <w:tcW w:w="851" w:type="dxa"/>
            <w:tcBorders>
              <w:top w:val="nil"/>
              <w:left w:val="nil"/>
              <w:bottom w:val="nil"/>
            </w:tcBorders>
          </w:tcPr>
          <w:p w14:paraId="50142CF2" w14:textId="77777777" w:rsidR="00340212" w:rsidRPr="00BB733C" w:rsidRDefault="00340212" w:rsidP="003F0A3C">
            <w:pPr>
              <w:spacing w:after="0" w:line="240" w:lineRule="auto"/>
              <w:rPr>
                <w:rFonts w:ascii="Arial" w:hAnsi="Arial" w:cs="Arial"/>
                <w:sz w:val="24"/>
                <w:szCs w:val="24"/>
              </w:rPr>
            </w:pPr>
          </w:p>
        </w:tc>
        <w:tc>
          <w:tcPr>
            <w:tcW w:w="426" w:type="dxa"/>
            <w:vMerge w:val="restart"/>
          </w:tcPr>
          <w:p w14:paraId="310D2CF0" w14:textId="77777777" w:rsidR="00340212" w:rsidRPr="00BB733C" w:rsidRDefault="00340212" w:rsidP="003F0A3C">
            <w:pPr>
              <w:rPr>
                <w:rFonts w:ascii="Arial" w:hAnsi="Arial" w:cs="Arial"/>
                <w:sz w:val="24"/>
                <w:szCs w:val="24"/>
              </w:rPr>
            </w:pPr>
            <w:r w:rsidRPr="00BB733C">
              <w:rPr>
                <w:rFonts w:ascii="Arial" w:hAnsi="Arial" w:cs="Arial"/>
                <w:sz w:val="24"/>
                <w:szCs w:val="24"/>
              </w:rPr>
              <w:t>3.</w:t>
            </w:r>
          </w:p>
        </w:tc>
        <w:tc>
          <w:tcPr>
            <w:tcW w:w="2268" w:type="dxa"/>
            <w:vMerge w:val="restart"/>
          </w:tcPr>
          <w:p w14:paraId="6181BD24" w14:textId="77777777" w:rsidR="00340212" w:rsidRPr="00BB733C" w:rsidRDefault="00340212" w:rsidP="003F0A3C">
            <w:pPr>
              <w:spacing w:after="0" w:line="240" w:lineRule="auto"/>
              <w:rPr>
                <w:rStyle w:val="A5"/>
                <w:rFonts w:ascii="Arial" w:hAnsi="Arial" w:cs="Arial"/>
                <w:sz w:val="24"/>
                <w:szCs w:val="24"/>
              </w:rPr>
            </w:pPr>
            <w:r w:rsidRPr="00BB733C">
              <w:rPr>
                <w:rStyle w:val="A5"/>
                <w:rFonts w:ascii="Arial" w:hAnsi="Arial" w:cs="Arial"/>
                <w:sz w:val="24"/>
                <w:szCs w:val="24"/>
              </w:rPr>
              <w:t>Middle managers and other line managers support their staff to work in culturally competent ways within a work environment free from discrimination</w:t>
            </w:r>
          </w:p>
          <w:p w14:paraId="4941F2A2" w14:textId="77777777" w:rsidR="00340212" w:rsidRPr="00BB733C" w:rsidRDefault="00340212" w:rsidP="003F0A3C">
            <w:pPr>
              <w:rPr>
                <w:rStyle w:val="A5"/>
                <w:rFonts w:ascii="Arial" w:hAnsi="Arial" w:cs="Arial"/>
                <w:sz w:val="24"/>
                <w:szCs w:val="24"/>
              </w:rPr>
            </w:pPr>
          </w:p>
        </w:tc>
        <w:tc>
          <w:tcPr>
            <w:tcW w:w="10206" w:type="dxa"/>
          </w:tcPr>
          <w:p w14:paraId="0206018E" w14:textId="77777777" w:rsidR="00340212" w:rsidRPr="00BB733C" w:rsidRDefault="00340212" w:rsidP="00D60606">
            <w:pPr>
              <w:spacing w:after="0" w:line="240" w:lineRule="auto"/>
              <w:rPr>
                <w:rFonts w:ascii="Arial" w:hAnsi="Arial" w:cs="Arial"/>
                <w:color w:val="000000"/>
                <w:sz w:val="24"/>
                <w:szCs w:val="24"/>
              </w:rPr>
            </w:pPr>
            <w:r w:rsidRPr="00BB733C">
              <w:rPr>
                <w:rFonts w:ascii="Arial" w:hAnsi="Arial" w:cs="Arial"/>
                <w:color w:val="000000"/>
                <w:sz w:val="24"/>
                <w:szCs w:val="24"/>
              </w:rPr>
              <w:t>Appraisal training guides Managers to  consider how their staff demonstrate the Leeds Way behaviours including the value to be ‘Fair’ and where it is considered unsatisfactory Managers are further guided to identify the necessary remedial action, for example, individual feedback, training.</w:t>
            </w:r>
          </w:p>
          <w:p w14:paraId="3B7649C0" w14:textId="77777777" w:rsidR="00340212" w:rsidRPr="00BB733C" w:rsidRDefault="00340212" w:rsidP="00D60606">
            <w:pPr>
              <w:spacing w:after="0" w:line="240" w:lineRule="auto"/>
              <w:rPr>
                <w:rFonts w:ascii="Arial" w:hAnsi="Arial" w:cs="Arial"/>
                <w:color w:val="000000"/>
                <w:sz w:val="24"/>
                <w:szCs w:val="24"/>
              </w:rPr>
            </w:pPr>
          </w:p>
        </w:tc>
        <w:tc>
          <w:tcPr>
            <w:tcW w:w="2551" w:type="dxa"/>
          </w:tcPr>
          <w:p w14:paraId="43F82830" w14:textId="77777777" w:rsidR="00340212" w:rsidRPr="00BB733C" w:rsidRDefault="00340212" w:rsidP="003F0A3C">
            <w:pPr>
              <w:spacing w:after="0" w:line="240" w:lineRule="auto"/>
              <w:rPr>
                <w:rFonts w:ascii="Arial" w:hAnsi="Arial" w:cs="Arial"/>
                <w:sz w:val="24"/>
                <w:szCs w:val="24"/>
              </w:rPr>
            </w:pPr>
            <w:r w:rsidRPr="00BB733C">
              <w:rPr>
                <w:rFonts w:ascii="Arial" w:hAnsi="Arial" w:cs="Arial"/>
                <w:sz w:val="24"/>
                <w:szCs w:val="24"/>
              </w:rPr>
              <w:t xml:space="preserve">Staff explicitly supported by Managers in ensuring that they demonstrate behaviours that are fair to all </w:t>
            </w:r>
          </w:p>
        </w:tc>
      </w:tr>
      <w:tr w:rsidR="00340212" w:rsidRPr="00BB733C" w14:paraId="27E8A286" w14:textId="77777777" w:rsidTr="00BB733C">
        <w:trPr>
          <w:trHeight w:val="1237"/>
        </w:trPr>
        <w:tc>
          <w:tcPr>
            <w:tcW w:w="851" w:type="dxa"/>
            <w:tcBorders>
              <w:top w:val="nil"/>
              <w:left w:val="nil"/>
              <w:bottom w:val="nil"/>
            </w:tcBorders>
          </w:tcPr>
          <w:p w14:paraId="56FC157B" w14:textId="77777777" w:rsidR="00340212" w:rsidRPr="00BB733C" w:rsidRDefault="00340212" w:rsidP="003F0A3C">
            <w:pPr>
              <w:spacing w:after="0" w:line="240" w:lineRule="auto"/>
              <w:rPr>
                <w:rFonts w:ascii="Arial" w:hAnsi="Arial" w:cs="Arial"/>
                <w:sz w:val="24"/>
                <w:szCs w:val="24"/>
              </w:rPr>
            </w:pPr>
            <w:r w:rsidRPr="00BB733C">
              <w:rPr>
                <w:rFonts w:ascii="Arial" w:hAnsi="Arial" w:cs="Arial"/>
                <w:sz w:val="24"/>
                <w:szCs w:val="24"/>
              </w:rPr>
              <w:t>4.</w:t>
            </w:r>
          </w:p>
        </w:tc>
        <w:tc>
          <w:tcPr>
            <w:tcW w:w="426" w:type="dxa"/>
            <w:vMerge/>
          </w:tcPr>
          <w:p w14:paraId="1FD0F0B8" w14:textId="77777777" w:rsidR="00340212" w:rsidRPr="00BB733C" w:rsidRDefault="00340212" w:rsidP="003F0A3C">
            <w:pPr>
              <w:spacing w:after="0" w:line="240" w:lineRule="auto"/>
              <w:rPr>
                <w:rFonts w:ascii="Arial" w:hAnsi="Arial" w:cs="Arial"/>
                <w:sz w:val="24"/>
                <w:szCs w:val="24"/>
              </w:rPr>
            </w:pPr>
          </w:p>
        </w:tc>
        <w:tc>
          <w:tcPr>
            <w:tcW w:w="2268" w:type="dxa"/>
            <w:vMerge/>
          </w:tcPr>
          <w:p w14:paraId="2DAF7EF0" w14:textId="77777777" w:rsidR="00340212" w:rsidRPr="00BB733C" w:rsidRDefault="00340212" w:rsidP="003F0A3C">
            <w:pPr>
              <w:spacing w:after="0" w:line="240" w:lineRule="auto"/>
              <w:rPr>
                <w:rFonts w:ascii="Arial" w:hAnsi="Arial" w:cs="Arial"/>
                <w:sz w:val="24"/>
                <w:szCs w:val="24"/>
              </w:rPr>
            </w:pPr>
          </w:p>
        </w:tc>
        <w:tc>
          <w:tcPr>
            <w:tcW w:w="10206" w:type="dxa"/>
          </w:tcPr>
          <w:p w14:paraId="40A58A97" w14:textId="77777777" w:rsidR="00340212" w:rsidRPr="00BB733C" w:rsidRDefault="00340212" w:rsidP="00FA1713">
            <w:pPr>
              <w:spacing w:after="0" w:line="240" w:lineRule="auto"/>
              <w:rPr>
                <w:rFonts w:ascii="Arial" w:hAnsi="Arial" w:cs="Arial"/>
                <w:sz w:val="24"/>
                <w:szCs w:val="24"/>
              </w:rPr>
            </w:pPr>
            <w:r w:rsidRPr="00BB733C">
              <w:rPr>
                <w:rFonts w:ascii="Arial" w:hAnsi="Arial" w:cs="Arial"/>
                <w:color w:val="000000"/>
                <w:sz w:val="24"/>
                <w:szCs w:val="24"/>
              </w:rPr>
              <w:t xml:space="preserve">Provision of comprehensive Organisational Learning Prospectus inclusive of suite of EDI Training and leadership training that provides tools, support and guidance in creating an inclusive work environment free from discrimination. The incorporation of the EDI Team within the recently established Organisational Development and Culture Department enables the support to Managers to be streamlined and strengthened.  </w:t>
            </w:r>
          </w:p>
        </w:tc>
        <w:tc>
          <w:tcPr>
            <w:tcW w:w="2551" w:type="dxa"/>
          </w:tcPr>
          <w:p w14:paraId="29C28EAF" w14:textId="77777777" w:rsidR="00340212" w:rsidRPr="00BB733C" w:rsidRDefault="00340212" w:rsidP="003F0A3C">
            <w:pPr>
              <w:spacing w:after="0" w:line="240" w:lineRule="auto"/>
              <w:rPr>
                <w:rFonts w:ascii="Arial" w:hAnsi="Arial" w:cs="Arial"/>
                <w:sz w:val="24"/>
                <w:szCs w:val="24"/>
              </w:rPr>
            </w:pPr>
            <w:r w:rsidRPr="00BB733C">
              <w:rPr>
                <w:rFonts w:ascii="Arial" w:hAnsi="Arial" w:cs="Arial"/>
                <w:sz w:val="24"/>
                <w:szCs w:val="24"/>
              </w:rPr>
              <w:t xml:space="preserve">Provision and encouragement of fit-for-purpose equality-related training support </w:t>
            </w:r>
          </w:p>
        </w:tc>
      </w:tr>
      <w:tr w:rsidR="00340212" w:rsidRPr="00BB733C" w14:paraId="5BCEA563" w14:textId="77777777" w:rsidTr="00BB733C">
        <w:trPr>
          <w:trHeight w:val="1237"/>
        </w:trPr>
        <w:tc>
          <w:tcPr>
            <w:tcW w:w="851" w:type="dxa"/>
            <w:tcBorders>
              <w:top w:val="nil"/>
              <w:left w:val="nil"/>
              <w:bottom w:val="nil"/>
            </w:tcBorders>
          </w:tcPr>
          <w:p w14:paraId="22AFA514" w14:textId="77777777" w:rsidR="00340212" w:rsidRPr="00BB733C" w:rsidRDefault="00340212" w:rsidP="003F0A3C">
            <w:pPr>
              <w:spacing w:after="0" w:line="240" w:lineRule="auto"/>
              <w:rPr>
                <w:rFonts w:ascii="Arial" w:hAnsi="Arial" w:cs="Arial"/>
                <w:sz w:val="24"/>
                <w:szCs w:val="24"/>
              </w:rPr>
            </w:pPr>
          </w:p>
        </w:tc>
        <w:tc>
          <w:tcPr>
            <w:tcW w:w="426" w:type="dxa"/>
            <w:vMerge/>
          </w:tcPr>
          <w:p w14:paraId="475CC529" w14:textId="77777777" w:rsidR="00340212" w:rsidRPr="00BB733C" w:rsidRDefault="00340212" w:rsidP="003F0A3C">
            <w:pPr>
              <w:spacing w:after="0" w:line="240" w:lineRule="auto"/>
              <w:rPr>
                <w:rFonts w:ascii="Arial" w:hAnsi="Arial" w:cs="Arial"/>
                <w:sz w:val="24"/>
                <w:szCs w:val="24"/>
              </w:rPr>
            </w:pPr>
          </w:p>
        </w:tc>
        <w:tc>
          <w:tcPr>
            <w:tcW w:w="2268" w:type="dxa"/>
            <w:vMerge/>
          </w:tcPr>
          <w:p w14:paraId="4D048804" w14:textId="77777777" w:rsidR="00340212" w:rsidRPr="00BB733C" w:rsidRDefault="00340212" w:rsidP="003F0A3C">
            <w:pPr>
              <w:spacing w:after="0" w:line="240" w:lineRule="auto"/>
              <w:rPr>
                <w:rFonts w:ascii="Arial" w:hAnsi="Arial" w:cs="Arial"/>
                <w:sz w:val="24"/>
                <w:szCs w:val="24"/>
              </w:rPr>
            </w:pPr>
          </w:p>
        </w:tc>
        <w:tc>
          <w:tcPr>
            <w:tcW w:w="10206" w:type="dxa"/>
          </w:tcPr>
          <w:p w14:paraId="41E2DE4A" w14:textId="77777777" w:rsidR="00340212" w:rsidRPr="00BB733C" w:rsidRDefault="00340212" w:rsidP="00FA1713">
            <w:pPr>
              <w:spacing w:after="0" w:line="240" w:lineRule="auto"/>
              <w:rPr>
                <w:rFonts w:ascii="Arial" w:hAnsi="Arial" w:cs="Arial"/>
                <w:color w:val="000000"/>
                <w:sz w:val="24"/>
                <w:szCs w:val="24"/>
              </w:rPr>
            </w:pPr>
            <w:r w:rsidRPr="00BB733C">
              <w:rPr>
                <w:rFonts w:ascii="Arial" w:hAnsi="Arial" w:cs="Arial"/>
                <w:color w:val="000000"/>
                <w:sz w:val="24"/>
                <w:szCs w:val="24"/>
              </w:rPr>
              <w:t>Refer to Outcome 1 and the EDI Communications Plan</w:t>
            </w:r>
          </w:p>
        </w:tc>
        <w:tc>
          <w:tcPr>
            <w:tcW w:w="2551" w:type="dxa"/>
          </w:tcPr>
          <w:p w14:paraId="377698BF" w14:textId="77777777" w:rsidR="00340212" w:rsidRPr="00BB733C" w:rsidRDefault="00340212" w:rsidP="003F0A3C">
            <w:pPr>
              <w:spacing w:after="0" w:line="240" w:lineRule="auto"/>
              <w:rPr>
                <w:rFonts w:ascii="Arial" w:hAnsi="Arial" w:cs="Arial"/>
                <w:sz w:val="24"/>
                <w:szCs w:val="24"/>
              </w:rPr>
            </w:pPr>
            <w:r w:rsidRPr="00BB733C">
              <w:rPr>
                <w:rFonts w:ascii="Arial" w:hAnsi="Arial" w:cs="Arial"/>
                <w:sz w:val="24"/>
                <w:szCs w:val="24"/>
              </w:rPr>
              <w:t>Staff increasingly actively involved in different cultural events throughout the calendar year</w:t>
            </w:r>
          </w:p>
        </w:tc>
      </w:tr>
    </w:tbl>
    <w:p w14:paraId="21ABA42E" w14:textId="77777777" w:rsidR="0006432C" w:rsidRPr="00BB733C" w:rsidRDefault="0006432C" w:rsidP="009C3240">
      <w:pPr>
        <w:jc w:val="center"/>
        <w:rPr>
          <w:rFonts w:ascii="Arial" w:hAnsi="Arial" w:cs="Arial"/>
          <w:sz w:val="24"/>
          <w:szCs w:val="24"/>
        </w:rPr>
      </w:pPr>
    </w:p>
    <w:sectPr w:rsidR="0006432C" w:rsidRPr="00BB733C" w:rsidSect="001A56E7">
      <w:pgSz w:w="16838" w:h="11906" w:orient="landscape"/>
      <w:pgMar w:top="680" w:right="680" w:bottom="680" w:left="6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F14D" w14:textId="77777777" w:rsidR="0054606D" w:rsidRDefault="0054606D" w:rsidP="00B51943">
      <w:pPr>
        <w:spacing w:after="0" w:line="240" w:lineRule="auto"/>
      </w:pPr>
      <w:r>
        <w:separator/>
      </w:r>
    </w:p>
  </w:endnote>
  <w:endnote w:type="continuationSeparator" w:id="0">
    <w:p w14:paraId="4D9E8D9F" w14:textId="77777777" w:rsidR="0054606D" w:rsidRDefault="0054606D" w:rsidP="00B5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0757" w14:textId="77777777" w:rsidR="0054606D" w:rsidRDefault="0054606D" w:rsidP="00B51943">
      <w:pPr>
        <w:spacing w:after="0" w:line="240" w:lineRule="auto"/>
      </w:pPr>
      <w:r>
        <w:separator/>
      </w:r>
    </w:p>
  </w:footnote>
  <w:footnote w:type="continuationSeparator" w:id="0">
    <w:p w14:paraId="1E90F1B9" w14:textId="77777777" w:rsidR="0054606D" w:rsidRDefault="0054606D" w:rsidP="00B51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4FE2"/>
    <w:multiLevelType w:val="hybridMultilevel"/>
    <w:tmpl w:val="A4A6E48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3D8196F"/>
    <w:multiLevelType w:val="hybridMultilevel"/>
    <w:tmpl w:val="6960F48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8183364"/>
    <w:multiLevelType w:val="hybridMultilevel"/>
    <w:tmpl w:val="031ECEE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8985910"/>
    <w:multiLevelType w:val="hybridMultilevel"/>
    <w:tmpl w:val="11E841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0ABE550F"/>
    <w:multiLevelType w:val="hybridMultilevel"/>
    <w:tmpl w:val="DF963242"/>
    <w:lvl w:ilvl="0" w:tplc="70FE296C">
      <w:start w:val="1"/>
      <w:numFmt w:val="decimal"/>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C39B1"/>
    <w:multiLevelType w:val="hybridMultilevel"/>
    <w:tmpl w:val="01020E64"/>
    <w:lvl w:ilvl="0" w:tplc="8404FA6C">
      <w:start w:val="1"/>
      <w:numFmt w:val="decimal"/>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22715"/>
    <w:multiLevelType w:val="hybridMultilevel"/>
    <w:tmpl w:val="156419B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14E37E57"/>
    <w:multiLevelType w:val="hybridMultilevel"/>
    <w:tmpl w:val="374A9F86"/>
    <w:lvl w:ilvl="0" w:tplc="82464AB8">
      <w:start w:val="1"/>
      <w:numFmt w:val="decimal"/>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A22A3"/>
    <w:multiLevelType w:val="hybridMultilevel"/>
    <w:tmpl w:val="EF14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12F9E"/>
    <w:multiLevelType w:val="hybridMultilevel"/>
    <w:tmpl w:val="00C4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176FE"/>
    <w:multiLevelType w:val="multilevel"/>
    <w:tmpl w:val="9F2A7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BA66B5"/>
    <w:multiLevelType w:val="hybridMultilevel"/>
    <w:tmpl w:val="25FA42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68C59F7"/>
    <w:multiLevelType w:val="hybridMultilevel"/>
    <w:tmpl w:val="5D2025E4"/>
    <w:lvl w:ilvl="0" w:tplc="0C4C1534">
      <w:start w:val="1"/>
      <w:numFmt w:val="decimal"/>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444F3E"/>
    <w:multiLevelType w:val="hybridMultilevel"/>
    <w:tmpl w:val="90C8F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5034B36"/>
    <w:multiLevelType w:val="hybridMultilevel"/>
    <w:tmpl w:val="5AE8C8A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48BC0AC8"/>
    <w:multiLevelType w:val="hybridMultilevel"/>
    <w:tmpl w:val="B2EA6B08"/>
    <w:lvl w:ilvl="0" w:tplc="F30CA440">
      <w:start w:val="3"/>
      <w:numFmt w:val="bullet"/>
      <w:lvlText w:val="-"/>
      <w:lvlJc w:val="left"/>
      <w:pPr>
        <w:ind w:left="1080" w:hanging="360"/>
      </w:pPr>
      <w:rPr>
        <w:rFonts w:ascii="Arial" w:eastAsia="Times New Roman" w:hAnsi="Aria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3F40C38"/>
    <w:multiLevelType w:val="hybridMultilevel"/>
    <w:tmpl w:val="F4E0EC5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5F047A56"/>
    <w:multiLevelType w:val="hybridMultilevel"/>
    <w:tmpl w:val="6AA6DDD8"/>
    <w:lvl w:ilvl="0" w:tplc="CB3435C0">
      <w:start w:val="1"/>
      <w:numFmt w:val="bullet"/>
      <w:lvlText w:val="-"/>
      <w:lvlJc w:val="left"/>
      <w:pPr>
        <w:ind w:left="1080" w:hanging="360"/>
      </w:pPr>
      <w:rPr>
        <w:rFonts w:ascii="Arial" w:eastAsia="Times New Roman" w:hAnsi="Aria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5F7D1AF4"/>
    <w:multiLevelType w:val="hybridMultilevel"/>
    <w:tmpl w:val="5E763D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77828D7"/>
    <w:multiLevelType w:val="hybridMultilevel"/>
    <w:tmpl w:val="D2B2AE00"/>
    <w:lvl w:ilvl="0" w:tplc="AD26F4FA">
      <w:start w:val="1"/>
      <w:numFmt w:val="decimal"/>
      <w:lvlText w:val="%1."/>
      <w:lvlJc w:val="left"/>
      <w:pPr>
        <w:ind w:left="720" w:hanging="360"/>
      </w:pPr>
      <w:rPr>
        <w:rFonts w:cs="Times New Roman"/>
        <w:sz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6867723B"/>
    <w:multiLevelType w:val="hybridMultilevel"/>
    <w:tmpl w:val="47329B7A"/>
    <w:lvl w:ilvl="0" w:tplc="1FCEA016">
      <w:start w:val="1"/>
      <w:numFmt w:val="decimal"/>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B75982"/>
    <w:multiLevelType w:val="multilevel"/>
    <w:tmpl w:val="260A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91847"/>
    <w:multiLevelType w:val="hybridMultilevel"/>
    <w:tmpl w:val="01020E64"/>
    <w:lvl w:ilvl="0" w:tplc="8404FA6C">
      <w:start w:val="1"/>
      <w:numFmt w:val="decimal"/>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411F53"/>
    <w:multiLevelType w:val="hybridMultilevel"/>
    <w:tmpl w:val="C452FA1C"/>
    <w:lvl w:ilvl="0" w:tplc="DBFCF646">
      <w:start w:val="1"/>
      <w:numFmt w:val="bullet"/>
      <w:lvlText w:val=""/>
      <w:lvlJc w:val="left"/>
      <w:pPr>
        <w:tabs>
          <w:tab w:val="num" w:pos="780"/>
        </w:tabs>
        <w:ind w:left="780" w:hanging="360"/>
      </w:pPr>
      <w:rPr>
        <w:rFonts w:ascii="Wingdings" w:hAnsi="Wingdings" w:hint="default"/>
        <w:color w:val="auto"/>
        <w:sz w:val="20"/>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64A455C"/>
    <w:multiLevelType w:val="hybridMultilevel"/>
    <w:tmpl w:val="427CDB8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790047E3"/>
    <w:multiLevelType w:val="hybridMultilevel"/>
    <w:tmpl w:val="06122F3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9CD0A1C"/>
    <w:multiLevelType w:val="hybridMultilevel"/>
    <w:tmpl w:val="574A061E"/>
    <w:lvl w:ilvl="0" w:tplc="0809000F">
      <w:start w:val="2"/>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AEF63E2"/>
    <w:multiLevelType w:val="hybridMultilevel"/>
    <w:tmpl w:val="1CB22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13"/>
  </w:num>
  <w:num w:numId="3">
    <w:abstractNumId w:val="1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2"/>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
  </w:num>
  <w:num w:numId="23">
    <w:abstractNumId w:val="27"/>
  </w:num>
  <w:num w:numId="24">
    <w:abstractNumId w:val="8"/>
  </w:num>
  <w:num w:numId="25">
    <w:abstractNumId w:val="9"/>
  </w:num>
  <w:num w:numId="26">
    <w:abstractNumId w:val="23"/>
  </w:num>
  <w:num w:numId="27">
    <w:abstractNumId w:val="19"/>
  </w:num>
  <w:num w:numId="28">
    <w:abstractNumId w:val="20"/>
  </w:num>
  <w:num w:numId="29">
    <w:abstractNumId w:val="22"/>
  </w:num>
  <w:num w:numId="30">
    <w:abstractNumId w:val="12"/>
  </w:num>
  <w:num w:numId="31">
    <w:abstractNumId w:val="3"/>
  </w:num>
  <w:num w:numId="32">
    <w:abstractNumId w:val="2"/>
  </w:num>
  <w:num w:numId="33">
    <w:abstractNumId w:val="6"/>
  </w:num>
  <w:num w:numId="34">
    <w:abstractNumId w:val="0"/>
  </w:num>
  <w:num w:numId="35">
    <w:abstractNumId w:val="16"/>
  </w:num>
  <w:num w:numId="36">
    <w:abstractNumId w:val="25"/>
  </w:num>
  <w:num w:numId="37">
    <w:abstractNumId w:val="14"/>
  </w:num>
  <w:num w:numId="38">
    <w:abstractNumId w:val="21"/>
  </w:num>
  <w:num w:numId="39">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50"/>
    <w:rsid w:val="0001525C"/>
    <w:rsid w:val="00053011"/>
    <w:rsid w:val="000635A9"/>
    <w:rsid w:val="0006432C"/>
    <w:rsid w:val="00074194"/>
    <w:rsid w:val="00076412"/>
    <w:rsid w:val="00092194"/>
    <w:rsid w:val="000B6EA1"/>
    <w:rsid w:val="000B7911"/>
    <w:rsid w:val="000D3189"/>
    <w:rsid w:val="000D718C"/>
    <w:rsid w:val="000F2220"/>
    <w:rsid w:val="000F3D25"/>
    <w:rsid w:val="000F58A4"/>
    <w:rsid w:val="000F7D75"/>
    <w:rsid w:val="00104839"/>
    <w:rsid w:val="00114F26"/>
    <w:rsid w:val="00122E5B"/>
    <w:rsid w:val="00144189"/>
    <w:rsid w:val="00167E35"/>
    <w:rsid w:val="0018005F"/>
    <w:rsid w:val="00183771"/>
    <w:rsid w:val="001851FE"/>
    <w:rsid w:val="00190E42"/>
    <w:rsid w:val="00194FCE"/>
    <w:rsid w:val="001A56E7"/>
    <w:rsid w:val="001B116E"/>
    <w:rsid w:val="001C334B"/>
    <w:rsid w:val="001C5DD9"/>
    <w:rsid w:val="001D12F8"/>
    <w:rsid w:val="001D1C6C"/>
    <w:rsid w:val="001D2BC6"/>
    <w:rsid w:val="001E0E68"/>
    <w:rsid w:val="001E4989"/>
    <w:rsid w:val="00201B1C"/>
    <w:rsid w:val="002247CC"/>
    <w:rsid w:val="0023205A"/>
    <w:rsid w:val="00242E77"/>
    <w:rsid w:val="0024703E"/>
    <w:rsid w:val="002605CF"/>
    <w:rsid w:val="00277256"/>
    <w:rsid w:val="0029006F"/>
    <w:rsid w:val="00294FF0"/>
    <w:rsid w:val="00295C31"/>
    <w:rsid w:val="002C127A"/>
    <w:rsid w:val="002D068B"/>
    <w:rsid w:val="002E35BA"/>
    <w:rsid w:val="00316150"/>
    <w:rsid w:val="00331D17"/>
    <w:rsid w:val="00340212"/>
    <w:rsid w:val="00353B73"/>
    <w:rsid w:val="00360B14"/>
    <w:rsid w:val="00362456"/>
    <w:rsid w:val="00395C43"/>
    <w:rsid w:val="003B00ED"/>
    <w:rsid w:val="003F0A3C"/>
    <w:rsid w:val="00407028"/>
    <w:rsid w:val="004071D4"/>
    <w:rsid w:val="00407D65"/>
    <w:rsid w:val="004142DB"/>
    <w:rsid w:val="00416819"/>
    <w:rsid w:val="00423B5C"/>
    <w:rsid w:val="0045084B"/>
    <w:rsid w:val="00451E11"/>
    <w:rsid w:val="00455299"/>
    <w:rsid w:val="00461054"/>
    <w:rsid w:val="0046644A"/>
    <w:rsid w:val="00496968"/>
    <w:rsid w:val="004A0B06"/>
    <w:rsid w:val="004B4EBE"/>
    <w:rsid w:val="004C268F"/>
    <w:rsid w:val="004D6E25"/>
    <w:rsid w:val="00531563"/>
    <w:rsid w:val="00532394"/>
    <w:rsid w:val="00541995"/>
    <w:rsid w:val="0054606D"/>
    <w:rsid w:val="005474E1"/>
    <w:rsid w:val="005537F3"/>
    <w:rsid w:val="00561093"/>
    <w:rsid w:val="00567694"/>
    <w:rsid w:val="00580E4E"/>
    <w:rsid w:val="005B61E9"/>
    <w:rsid w:val="005D4F83"/>
    <w:rsid w:val="005D7213"/>
    <w:rsid w:val="005D7341"/>
    <w:rsid w:val="00630E66"/>
    <w:rsid w:val="00631D46"/>
    <w:rsid w:val="006340CD"/>
    <w:rsid w:val="00666DEF"/>
    <w:rsid w:val="00667EE3"/>
    <w:rsid w:val="00681EE7"/>
    <w:rsid w:val="00691288"/>
    <w:rsid w:val="00691E9B"/>
    <w:rsid w:val="006A408A"/>
    <w:rsid w:val="006C0CE2"/>
    <w:rsid w:val="006D602A"/>
    <w:rsid w:val="006D6C0D"/>
    <w:rsid w:val="006D7486"/>
    <w:rsid w:val="007038D0"/>
    <w:rsid w:val="00707751"/>
    <w:rsid w:val="00726FE4"/>
    <w:rsid w:val="007273CE"/>
    <w:rsid w:val="00736601"/>
    <w:rsid w:val="00753800"/>
    <w:rsid w:val="0076084A"/>
    <w:rsid w:val="00766780"/>
    <w:rsid w:val="00796DDC"/>
    <w:rsid w:val="007A5770"/>
    <w:rsid w:val="007C3C2C"/>
    <w:rsid w:val="007F10B4"/>
    <w:rsid w:val="007F21E7"/>
    <w:rsid w:val="007F3C5C"/>
    <w:rsid w:val="00804F6B"/>
    <w:rsid w:val="00805E9C"/>
    <w:rsid w:val="00807257"/>
    <w:rsid w:val="0083188D"/>
    <w:rsid w:val="0085655E"/>
    <w:rsid w:val="00857ACF"/>
    <w:rsid w:val="00865E2F"/>
    <w:rsid w:val="0087210D"/>
    <w:rsid w:val="008C1BCC"/>
    <w:rsid w:val="008C4F19"/>
    <w:rsid w:val="008D15D6"/>
    <w:rsid w:val="008D492B"/>
    <w:rsid w:val="008D4981"/>
    <w:rsid w:val="008D51E9"/>
    <w:rsid w:val="008E082E"/>
    <w:rsid w:val="008E5466"/>
    <w:rsid w:val="008F1DEE"/>
    <w:rsid w:val="00946823"/>
    <w:rsid w:val="00947392"/>
    <w:rsid w:val="00956F33"/>
    <w:rsid w:val="00965B99"/>
    <w:rsid w:val="00966218"/>
    <w:rsid w:val="009853BB"/>
    <w:rsid w:val="009A26A5"/>
    <w:rsid w:val="009A414D"/>
    <w:rsid w:val="009A6610"/>
    <w:rsid w:val="009C3240"/>
    <w:rsid w:val="009C3918"/>
    <w:rsid w:val="009C53FB"/>
    <w:rsid w:val="009D6D2A"/>
    <w:rsid w:val="009E48D4"/>
    <w:rsid w:val="009E651D"/>
    <w:rsid w:val="009F274F"/>
    <w:rsid w:val="009F3CCF"/>
    <w:rsid w:val="00A00F1C"/>
    <w:rsid w:val="00A06BBB"/>
    <w:rsid w:val="00A103AF"/>
    <w:rsid w:val="00A10DC1"/>
    <w:rsid w:val="00A126AB"/>
    <w:rsid w:val="00A35A54"/>
    <w:rsid w:val="00A35ECC"/>
    <w:rsid w:val="00A446BC"/>
    <w:rsid w:val="00A47EBC"/>
    <w:rsid w:val="00A73D07"/>
    <w:rsid w:val="00A76E4B"/>
    <w:rsid w:val="00A937E2"/>
    <w:rsid w:val="00AD1653"/>
    <w:rsid w:val="00B008BD"/>
    <w:rsid w:val="00B34019"/>
    <w:rsid w:val="00B51943"/>
    <w:rsid w:val="00B51BA4"/>
    <w:rsid w:val="00B56C25"/>
    <w:rsid w:val="00B56F47"/>
    <w:rsid w:val="00B721C6"/>
    <w:rsid w:val="00B813CB"/>
    <w:rsid w:val="00B8734F"/>
    <w:rsid w:val="00BB6D0B"/>
    <w:rsid w:val="00BB733C"/>
    <w:rsid w:val="00BD2E05"/>
    <w:rsid w:val="00BD7D5D"/>
    <w:rsid w:val="00C00955"/>
    <w:rsid w:val="00C31028"/>
    <w:rsid w:val="00C319BF"/>
    <w:rsid w:val="00C32DE8"/>
    <w:rsid w:val="00C35F36"/>
    <w:rsid w:val="00C37368"/>
    <w:rsid w:val="00C525F8"/>
    <w:rsid w:val="00C62567"/>
    <w:rsid w:val="00C82B8A"/>
    <w:rsid w:val="00C90D4A"/>
    <w:rsid w:val="00CB0B56"/>
    <w:rsid w:val="00CC3E87"/>
    <w:rsid w:val="00CC3F3A"/>
    <w:rsid w:val="00CD506A"/>
    <w:rsid w:val="00CE58AD"/>
    <w:rsid w:val="00CF4DD2"/>
    <w:rsid w:val="00D01C57"/>
    <w:rsid w:val="00D054AA"/>
    <w:rsid w:val="00D24A4A"/>
    <w:rsid w:val="00D43F4F"/>
    <w:rsid w:val="00D46462"/>
    <w:rsid w:val="00D60606"/>
    <w:rsid w:val="00D7553D"/>
    <w:rsid w:val="00D76166"/>
    <w:rsid w:val="00D80B75"/>
    <w:rsid w:val="00D846BB"/>
    <w:rsid w:val="00DB09EF"/>
    <w:rsid w:val="00DC6CC3"/>
    <w:rsid w:val="00E01B4D"/>
    <w:rsid w:val="00E01C21"/>
    <w:rsid w:val="00E04E42"/>
    <w:rsid w:val="00E22EF4"/>
    <w:rsid w:val="00E243C9"/>
    <w:rsid w:val="00E40217"/>
    <w:rsid w:val="00E54F35"/>
    <w:rsid w:val="00E81002"/>
    <w:rsid w:val="00E94415"/>
    <w:rsid w:val="00E97598"/>
    <w:rsid w:val="00EB5A3B"/>
    <w:rsid w:val="00EB6F81"/>
    <w:rsid w:val="00EC11E5"/>
    <w:rsid w:val="00EE2381"/>
    <w:rsid w:val="00EE40E3"/>
    <w:rsid w:val="00EE46A9"/>
    <w:rsid w:val="00F57A3C"/>
    <w:rsid w:val="00F95A6D"/>
    <w:rsid w:val="00FA0135"/>
    <w:rsid w:val="00FA1713"/>
    <w:rsid w:val="00FB25C3"/>
    <w:rsid w:val="00FC3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9DE42E"/>
  <w15:docId w15:val="{5246FE5F-C3F5-4189-8F97-81BC423D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73"/>
    <w:pPr>
      <w:spacing w:after="200" w:line="276" w:lineRule="auto"/>
    </w:pPr>
    <w:rPr>
      <w:lang w:eastAsia="en-US"/>
    </w:rPr>
  </w:style>
  <w:style w:type="paragraph" w:styleId="Heading3">
    <w:name w:val="heading 3"/>
    <w:basedOn w:val="Normal"/>
    <w:next w:val="Normal"/>
    <w:link w:val="Heading3Char"/>
    <w:uiPriority w:val="99"/>
    <w:qFormat/>
    <w:rsid w:val="005D734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D7341"/>
    <w:rPr>
      <w:rFonts w:ascii="Cambria" w:hAnsi="Cambria" w:cs="Times New Roman"/>
      <w:b/>
      <w:bCs/>
      <w:color w:val="4F81BD"/>
    </w:rPr>
  </w:style>
  <w:style w:type="table" w:styleId="TableGrid">
    <w:name w:val="Table Grid"/>
    <w:basedOn w:val="TableNormal"/>
    <w:uiPriority w:val="99"/>
    <w:rsid w:val="00316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5194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1943"/>
    <w:rPr>
      <w:rFonts w:cs="Times New Roman"/>
    </w:rPr>
  </w:style>
  <w:style w:type="paragraph" w:styleId="Footer">
    <w:name w:val="footer"/>
    <w:basedOn w:val="Normal"/>
    <w:link w:val="FooterChar"/>
    <w:uiPriority w:val="99"/>
    <w:rsid w:val="00B519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1943"/>
    <w:rPr>
      <w:rFonts w:cs="Times New Roman"/>
    </w:rPr>
  </w:style>
  <w:style w:type="paragraph" w:styleId="BalloonText">
    <w:name w:val="Balloon Text"/>
    <w:basedOn w:val="Normal"/>
    <w:link w:val="BalloonTextChar"/>
    <w:uiPriority w:val="99"/>
    <w:semiHidden/>
    <w:rsid w:val="007F2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1E7"/>
    <w:rPr>
      <w:rFonts w:ascii="Tahoma" w:hAnsi="Tahoma" w:cs="Tahoma"/>
      <w:sz w:val="16"/>
      <w:szCs w:val="16"/>
    </w:rPr>
  </w:style>
  <w:style w:type="paragraph" w:styleId="ListParagraph">
    <w:name w:val="List Paragraph"/>
    <w:basedOn w:val="Normal"/>
    <w:link w:val="ListParagraphChar"/>
    <w:uiPriority w:val="99"/>
    <w:qFormat/>
    <w:rsid w:val="007F10B4"/>
    <w:pPr>
      <w:ind w:left="720"/>
      <w:contextualSpacing/>
    </w:pPr>
  </w:style>
  <w:style w:type="character" w:customStyle="1" w:styleId="ListParagraphChar">
    <w:name w:val="List Paragraph Char"/>
    <w:link w:val="ListParagraph"/>
    <w:uiPriority w:val="99"/>
    <w:locked/>
    <w:rsid w:val="007F10B4"/>
  </w:style>
  <w:style w:type="paragraph" w:customStyle="1" w:styleId="Default">
    <w:name w:val="Default"/>
    <w:uiPriority w:val="99"/>
    <w:rsid w:val="007F10B4"/>
    <w:pPr>
      <w:autoSpaceDE w:val="0"/>
      <w:autoSpaceDN w:val="0"/>
      <w:adjustRightInd w:val="0"/>
    </w:pPr>
    <w:rPr>
      <w:rFonts w:ascii="Arial" w:eastAsia="Times New Roman" w:hAnsi="Arial" w:cs="Arial"/>
      <w:color w:val="000000"/>
      <w:sz w:val="24"/>
      <w:szCs w:val="24"/>
      <w:lang w:val="en-US" w:eastAsia="en-US"/>
    </w:rPr>
  </w:style>
  <w:style w:type="paragraph" w:customStyle="1" w:styleId="Pa12">
    <w:name w:val="Pa12"/>
    <w:basedOn w:val="Normal"/>
    <w:next w:val="Normal"/>
    <w:uiPriority w:val="99"/>
    <w:rsid w:val="007F10B4"/>
    <w:pPr>
      <w:autoSpaceDE w:val="0"/>
      <w:autoSpaceDN w:val="0"/>
      <w:adjustRightInd w:val="0"/>
      <w:spacing w:after="0" w:line="221" w:lineRule="atLeast"/>
    </w:pPr>
    <w:rPr>
      <w:rFonts w:ascii="Frutiger LT Std 55 Roman" w:hAnsi="Frutiger LT Std 55 Roman"/>
      <w:sz w:val="24"/>
      <w:szCs w:val="24"/>
    </w:rPr>
  </w:style>
  <w:style w:type="character" w:customStyle="1" w:styleId="A5">
    <w:name w:val="A5"/>
    <w:uiPriority w:val="99"/>
    <w:rsid w:val="000D3189"/>
    <w:rPr>
      <w:color w:val="000000"/>
      <w:sz w:val="22"/>
    </w:rPr>
  </w:style>
  <w:style w:type="character" w:styleId="CommentReference">
    <w:name w:val="annotation reference"/>
    <w:basedOn w:val="DefaultParagraphFont"/>
    <w:uiPriority w:val="99"/>
    <w:semiHidden/>
    <w:rsid w:val="008D4981"/>
    <w:rPr>
      <w:rFonts w:cs="Times New Roman"/>
      <w:sz w:val="16"/>
      <w:szCs w:val="16"/>
    </w:rPr>
  </w:style>
  <w:style w:type="paragraph" w:styleId="CommentText">
    <w:name w:val="annotation text"/>
    <w:basedOn w:val="Normal"/>
    <w:link w:val="CommentTextChar"/>
    <w:uiPriority w:val="99"/>
    <w:semiHidden/>
    <w:rsid w:val="008D498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4981"/>
    <w:rPr>
      <w:rFonts w:cs="Times New Roman"/>
      <w:sz w:val="20"/>
      <w:szCs w:val="20"/>
    </w:rPr>
  </w:style>
  <w:style w:type="paragraph" w:styleId="CommentSubject">
    <w:name w:val="annotation subject"/>
    <w:basedOn w:val="CommentText"/>
    <w:next w:val="CommentText"/>
    <w:link w:val="CommentSubjectChar"/>
    <w:uiPriority w:val="99"/>
    <w:semiHidden/>
    <w:rsid w:val="008D4981"/>
    <w:rPr>
      <w:b/>
      <w:bCs/>
    </w:rPr>
  </w:style>
  <w:style w:type="character" w:customStyle="1" w:styleId="CommentSubjectChar">
    <w:name w:val="Comment Subject Char"/>
    <w:basedOn w:val="CommentTextChar"/>
    <w:link w:val="CommentSubject"/>
    <w:uiPriority w:val="99"/>
    <w:semiHidden/>
    <w:locked/>
    <w:rsid w:val="008D4981"/>
    <w:rPr>
      <w:rFonts w:cs="Times New Roman"/>
      <w:b/>
      <w:bCs/>
      <w:sz w:val="20"/>
      <w:szCs w:val="20"/>
    </w:rPr>
  </w:style>
  <w:style w:type="paragraph" w:styleId="NormalWeb">
    <w:name w:val="Normal (Web)"/>
    <w:basedOn w:val="Normal"/>
    <w:uiPriority w:val="99"/>
    <w:semiHidden/>
    <w:rsid w:val="00360B14"/>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99"/>
    <w:qFormat/>
    <w:rsid w:val="00360B14"/>
    <w:rPr>
      <w:rFonts w:cs="Times New Roman"/>
      <w:i/>
      <w:iCs/>
    </w:rPr>
  </w:style>
  <w:style w:type="character" w:styleId="Hyperlink">
    <w:name w:val="Hyperlink"/>
    <w:basedOn w:val="DefaultParagraphFont"/>
    <w:uiPriority w:val="99"/>
    <w:semiHidden/>
    <w:rsid w:val="004552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718">
      <w:marLeft w:val="0"/>
      <w:marRight w:val="0"/>
      <w:marTop w:val="0"/>
      <w:marBottom w:val="0"/>
      <w:divBdr>
        <w:top w:val="none" w:sz="0" w:space="0" w:color="auto"/>
        <w:left w:val="none" w:sz="0" w:space="0" w:color="auto"/>
        <w:bottom w:val="none" w:sz="0" w:space="0" w:color="auto"/>
        <w:right w:val="none" w:sz="0" w:space="0" w:color="auto"/>
      </w:divBdr>
      <w:divsChild>
        <w:div w:id="25101721">
          <w:marLeft w:val="0"/>
          <w:marRight w:val="0"/>
          <w:marTop w:val="0"/>
          <w:marBottom w:val="0"/>
          <w:divBdr>
            <w:top w:val="none" w:sz="0" w:space="0" w:color="auto"/>
            <w:left w:val="none" w:sz="0" w:space="0" w:color="auto"/>
            <w:bottom w:val="none" w:sz="0" w:space="0" w:color="auto"/>
            <w:right w:val="none" w:sz="0" w:space="0" w:color="auto"/>
          </w:divBdr>
          <w:divsChild>
            <w:div w:id="25101729">
              <w:marLeft w:val="0"/>
              <w:marRight w:val="0"/>
              <w:marTop w:val="0"/>
              <w:marBottom w:val="0"/>
              <w:divBdr>
                <w:top w:val="none" w:sz="0" w:space="0" w:color="auto"/>
                <w:left w:val="none" w:sz="0" w:space="0" w:color="auto"/>
                <w:bottom w:val="none" w:sz="0" w:space="0" w:color="auto"/>
                <w:right w:val="none" w:sz="0" w:space="0" w:color="auto"/>
              </w:divBdr>
              <w:divsChild>
                <w:div w:id="25101732">
                  <w:marLeft w:val="0"/>
                  <w:marRight w:val="0"/>
                  <w:marTop w:val="0"/>
                  <w:marBottom w:val="0"/>
                  <w:divBdr>
                    <w:top w:val="none" w:sz="0" w:space="0" w:color="auto"/>
                    <w:left w:val="none" w:sz="0" w:space="0" w:color="auto"/>
                    <w:bottom w:val="none" w:sz="0" w:space="0" w:color="auto"/>
                    <w:right w:val="none" w:sz="0" w:space="0" w:color="auto"/>
                  </w:divBdr>
                  <w:divsChild>
                    <w:div w:id="25101722">
                      <w:marLeft w:val="0"/>
                      <w:marRight w:val="0"/>
                      <w:marTop w:val="0"/>
                      <w:marBottom w:val="0"/>
                      <w:divBdr>
                        <w:top w:val="none" w:sz="0" w:space="0" w:color="auto"/>
                        <w:left w:val="none" w:sz="0" w:space="0" w:color="auto"/>
                        <w:bottom w:val="none" w:sz="0" w:space="0" w:color="auto"/>
                        <w:right w:val="single" w:sz="18" w:space="0" w:color="F9F9F9"/>
                      </w:divBdr>
                      <w:divsChild>
                        <w:div w:id="25101727">
                          <w:marLeft w:val="0"/>
                          <w:marRight w:val="3"/>
                          <w:marTop w:val="0"/>
                          <w:marBottom w:val="600"/>
                          <w:divBdr>
                            <w:top w:val="none" w:sz="0" w:space="0" w:color="auto"/>
                            <w:left w:val="none" w:sz="0" w:space="0" w:color="auto"/>
                            <w:bottom w:val="none" w:sz="0" w:space="0" w:color="auto"/>
                            <w:right w:val="none" w:sz="0" w:space="0" w:color="auto"/>
                          </w:divBdr>
                          <w:divsChild>
                            <w:div w:id="25101751">
                              <w:marLeft w:val="0"/>
                              <w:marRight w:val="0"/>
                              <w:marTop w:val="0"/>
                              <w:marBottom w:val="0"/>
                              <w:divBdr>
                                <w:top w:val="none" w:sz="0" w:space="0" w:color="auto"/>
                                <w:left w:val="none" w:sz="0" w:space="0" w:color="auto"/>
                                <w:bottom w:val="none" w:sz="0" w:space="0" w:color="auto"/>
                                <w:right w:val="none" w:sz="0" w:space="0" w:color="auto"/>
                              </w:divBdr>
                              <w:divsChild>
                                <w:div w:id="25101741">
                                  <w:marLeft w:val="0"/>
                                  <w:marRight w:val="0"/>
                                  <w:marTop w:val="0"/>
                                  <w:marBottom w:val="0"/>
                                  <w:divBdr>
                                    <w:top w:val="none" w:sz="0" w:space="0" w:color="auto"/>
                                    <w:left w:val="none" w:sz="0" w:space="0" w:color="auto"/>
                                    <w:bottom w:val="none" w:sz="0" w:space="0" w:color="auto"/>
                                    <w:right w:val="none" w:sz="0" w:space="0" w:color="auto"/>
                                  </w:divBdr>
                                  <w:divsChild>
                                    <w:div w:id="251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719">
      <w:marLeft w:val="0"/>
      <w:marRight w:val="0"/>
      <w:marTop w:val="0"/>
      <w:marBottom w:val="0"/>
      <w:divBdr>
        <w:top w:val="none" w:sz="0" w:space="0" w:color="auto"/>
        <w:left w:val="none" w:sz="0" w:space="0" w:color="auto"/>
        <w:bottom w:val="none" w:sz="0" w:space="0" w:color="auto"/>
        <w:right w:val="none" w:sz="0" w:space="0" w:color="auto"/>
      </w:divBdr>
    </w:div>
    <w:div w:id="25101720">
      <w:marLeft w:val="0"/>
      <w:marRight w:val="0"/>
      <w:marTop w:val="0"/>
      <w:marBottom w:val="0"/>
      <w:divBdr>
        <w:top w:val="none" w:sz="0" w:space="0" w:color="auto"/>
        <w:left w:val="none" w:sz="0" w:space="0" w:color="auto"/>
        <w:bottom w:val="none" w:sz="0" w:space="0" w:color="auto"/>
        <w:right w:val="none" w:sz="0" w:space="0" w:color="auto"/>
      </w:divBdr>
    </w:div>
    <w:div w:id="25101723">
      <w:marLeft w:val="0"/>
      <w:marRight w:val="0"/>
      <w:marTop w:val="0"/>
      <w:marBottom w:val="0"/>
      <w:divBdr>
        <w:top w:val="none" w:sz="0" w:space="0" w:color="auto"/>
        <w:left w:val="none" w:sz="0" w:space="0" w:color="auto"/>
        <w:bottom w:val="none" w:sz="0" w:space="0" w:color="auto"/>
        <w:right w:val="none" w:sz="0" w:space="0" w:color="auto"/>
      </w:divBdr>
    </w:div>
    <w:div w:id="25101726">
      <w:marLeft w:val="0"/>
      <w:marRight w:val="0"/>
      <w:marTop w:val="0"/>
      <w:marBottom w:val="0"/>
      <w:divBdr>
        <w:top w:val="none" w:sz="0" w:space="0" w:color="auto"/>
        <w:left w:val="none" w:sz="0" w:space="0" w:color="auto"/>
        <w:bottom w:val="none" w:sz="0" w:space="0" w:color="auto"/>
        <w:right w:val="none" w:sz="0" w:space="0" w:color="auto"/>
      </w:divBdr>
    </w:div>
    <w:div w:id="25101731">
      <w:marLeft w:val="0"/>
      <w:marRight w:val="0"/>
      <w:marTop w:val="0"/>
      <w:marBottom w:val="0"/>
      <w:divBdr>
        <w:top w:val="none" w:sz="0" w:space="0" w:color="auto"/>
        <w:left w:val="none" w:sz="0" w:space="0" w:color="auto"/>
        <w:bottom w:val="none" w:sz="0" w:space="0" w:color="auto"/>
        <w:right w:val="none" w:sz="0" w:space="0" w:color="auto"/>
      </w:divBdr>
    </w:div>
    <w:div w:id="25101737">
      <w:marLeft w:val="0"/>
      <w:marRight w:val="0"/>
      <w:marTop w:val="0"/>
      <w:marBottom w:val="0"/>
      <w:divBdr>
        <w:top w:val="none" w:sz="0" w:space="0" w:color="auto"/>
        <w:left w:val="none" w:sz="0" w:space="0" w:color="auto"/>
        <w:bottom w:val="none" w:sz="0" w:space="0" w:color="auto"/>
        <w:right w:val="none" w:sz="0" w:space="0" w:color="auto"/>
      </w:divBdr>
    </w:div>
    <w:div w:id="25101745">
      <w:marLeft w:val="0"/>
      <w:marRight w:val="0"/>
      <w:marTop w:val="0"/>
      <w:marBottom w:val="0"/>
      <w:divBdr>
        <w:top w:val="none" w:sz="0" w:space="0" w:color="auto"/>
        <w:left w:val="none" w:sz="0" w:space="0" w:color="auto"/>
        <w:bottom w:val="none" w:sz="0" w:space="0" w:color="auto"/>
        <w:right w:val="none" w:sz="0" w:space="0" w:color="auto"/>
      </w:divBdr>
      <w:divsChild>
        <w:div w:id="25101724">
          <w:marLeft w:val="0"/>
          <w:marRight w:val="0"/>
          <w:marTop w:val="0"/>
          <w:marBottom w:val="0"/>
          <w:divBdr>
            <w:top w:val="none" w:sz="0" w:space="0" w:color="auto"/>
            <w:left w:val="none" w:sz="0" w:space="0" w:color="auto"/>
            <w:bottom w:val="none" w:sz="0" w:space="0" w:color="auto"/>
            <w:right w:val="none" w:sz="0" w:space="0" w:color="auto"/>
          </w:divBdr>
          <w:divsChild>
            <w:div w:id="25101738">
              <w:marLeft w:val="0"/>
              <w:marRight w:val="0"/>
              <w:marTop w:val="0"/>
              <w:marBottom w:val="0"/>
              <w:divBdr>
                <w:top w:val="none" w:sz="0" w:space="0" w:color="auto"/>
                <w:left w:val="none" w:sz="0" w:space="0" w:color="auto"/>
                <w:bottom w:val="none" w:sz="0" w:space="0" w:color="auto"/>
                <w:right w:val="none" w:sz="0" w:space="0" w:color="auto"/>
              </w:divBdr>
              <w:divsChild>
                <w:div w:id="25101749">
                  <w:marLeft w:val="0"/>
                  <w:marRight w:val="0"/>
                  <w:marTop w:val="0"/>
                  <w:marBottom w:val="0"/>
                  <w:divBdr>
                    <w:top w:val="none" w:sz="0" w:space="0" w:color="auto"/>
                    <w:left w:val="none" w:sz="0" w:space="0" w:color="auto"/>
                    <w:bottom w:val="none" w:sz="0" w:space="0" w:color="auto"/>
                    <w:right w:val="none" w:sz="0" w:space="0" w:color="auto"/>
                  </w:divBdr>
                  <w:divsChild>
                    <w:div w:id="25101728">
                      <w:marLeft w:val="0"/>
                      <w:marRight w:val="0"/>
                      <w:marTop w:val="0"/>
                      <w:marBottom w:val="0"/>
                      <w:divBdr>
                        <w:top w:val="none" w:sz="0" w:space="0" w:color="auto"/>
                        <w:left w:val="none" w:sz="0" w:space="0" w:color="auto"/>
                        <w:bottom w:val="none" w:sz="0" w:space="0" w:color="auto"/>
                        <w:right w:val="none" w:sz="0" w:space="0" w:color="auto"/>
                      </w:divBdr>
                      <w:divsChild>
                        <w:div w:id="251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1746">
      <w:marLeft w:val="0"/>
      <w:marRight w:val="0"/>
      <w:marTop w:val="0"/>
      <w:marBottom w:val="0"/>
      <w:divBdr>
        <w:top w:val="none" w:sz="0" w:space="0" w:color="auto"/>
        <w:left w:val="none" w:sz="0" w:space="0" w:color="auto"/>
        <w:bottom w:val="none" w:sz="0" w:space="0" w:color="auto"/>
        <w:right w:val="none" w:sz="0" w:space="0" w:color="auto"/>
      </w:divBdr>
    </w:div>
    <w:div w:id="25101747">
      <w:marLeft w:val="0"/>
      <w:marRight w:val="0"/>
      <w:marTop w:val="0"/>
      <w:marBottom w:val="0"/>
      <w:divBdr>
        <w:top w:val="none" w:sz="0" w:space="0" w:color="auto"/>
        <w:left w:val="none" w:sz="0" w:space="0" w:color="auto"/>
        <w:bottom w:val="none" w:sz="0" w:space="0" w:color="auto"/>
        <w:right w:val="none" w:sz="0" w:space="0" w:color="auto"/>
      </w:divBdr>
      <w:divsChild>
        <w:div w:id="25101742">
          <w:marLeft w:val="0"/>
          <w:marRight w:val="0"/>
          <w:marTop w:val="0"/>
          <w:marBottom w:val="0"/>
          <w:divBdr>
            <w:top w:val="none" w:sz="0" w:space="0" w:color="auto"/>
            <w:left w:val="none" w:sz="0" w:space="0" w:color="auto"/>
            <w:bottom w:val="none" w:sz="0" w:space="0" w:color="auto"/>
            <w:right w:val="none" w:sz="0" w:space="0" w:color="auto"/>
          </w:divBdr>
          <w:divsChild>
            <w:div w:id="25101717">
              <w:marLeft w:val="0"/>
              <w:marRight w:val="0"/>
              <w:marTop w:val="0"/>
              <w:marBottom w:val="0"/>
              <w:divBdr>
                <w:top w:val="none" w:sz="0" w:space="0" w:color="auto"/>
                <w:left w:val="none" w:sz="0" w:space="0" w:color="auto"/>
                <w:bottom w:val="none" w:sz="0" w:space="0" w:color="auto"/>
                <w:right w:val="none" w:sz="0" w:space="0" w:color="auto"/>
              </w:divBdr>
              <w:divsChild>
                <w:div w:id="25101740">
                  <w:marLeft w:val="0"/>
                  <w:marRight w:val="0"/>
                  <w:marTop w:val="0"/>
                  <w:marBottom w:val="0"/>
                  <w:divBdr>
                    <w:top w:val="none" w:sz="0" w:space="0" w:color="auto"/>
                    <w:left w:val="none" w:sz="0" w:space="0" w:color="auto"/>
                    <w:bottom w:val="none" w:sz="0" w:space="0" w:color="auto"/>
                    <w:right w:val="none" w:sz="0" w:space="0" w:color="auto"/>
                  </w:divBdr>
                  <w:divsChild>
                    <w:div w:id="25101743">
                      <w:marLeft w:val="0"/>
                      <w:marRight w:val="0"/>
                      <w:marTop w:val="0"/>
                      <w:marBottom w:val="0"/>
                      <w:divBdr>
                        <w:top w:val="none" w:sz="0" w:space="0" w:color="auto"/>
                        <w:left w:val="none" w:sz="0" w:space="0" w:color="auto"/>
                        <w:bottom w:val="none" w:sz="0" w:space="0" w:color="auto"/>
                        <w:right w:val="none" w:sz="0" w:space="0" w:color="auto"/>
                      </w:divBdr>
                      <w:divsChild>
                        <w:div w:id="251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1748">
      <w:marLeft w:val="0"/>
      <w:marRight w:val="0"/>
      <w:marTop w:val="0"/>
      <w:marBottom w:val="0"/>
      <w:divBdr>
        <w:top w:val="none" w:sz="0" w:space="0" w:color="auto"/>
        <w:left w:val="none" w:sz="0" w:space="0" w:color="auto"/>
        <w:bottom w:val="none" w:sz="0" w:space="0" w:color="auto"/>
        <w:right w:val="none" w:sz="0" w:space="0" w:color="auto"/>
      </w:divBdr>
      <w:divsChild>
        <w:div w:id="25101733">
          <w:marLeft w:val="0"/>
          <w:marRight w:val="0"/>
          <w:marTop w:val="0"/>
          <w:marBottom w:val="0"/>
          <w:divBdr>
            <w:top w:val="none" w:sz="0" w:space="0" w:color="auto"/>
            <w:left w:val="none" w:sz="0" w:space="0" w:color="auto"/>
            <w:bottom w:val="none" w:sz="0" w:space="0" w:color="auto"/>
            <w:right w:val="none" w:sz="0" w:space="0" w:color="auto"/>
          </w:divBdr>
          <w:divsChild>
            <w:div w:id="25101716">
              <w:marLeft w:val="0"/>
              <w:marRight w:val="0"/>
              <w:marTop w:val="0"/>
              <w:marBottom w:val="0"/>
              <w:divBdr>
                <w:top w:val="none" w:sz="0" w:space="0" w:color="auto"/>
                <w:left w:val="none" w:sz="0" w:space="0" w:color="auto"/>
                <w:bottom w:val="none" w:sz="0" w:space="0" w:color="auto"/>
                <w:right w:val="none" w:sz="0" w:space="0" w:color="auto"/>
              </w:divBdr>
              <w:divsChild>
                <w:div w:id="25101750">
                  <w:marLeft w:val="0"/>
                  <w:marRight w:val="0"/>
                  <w:marTop w:val="0"/>
                  <w:marBottom w:val="0"/>
                  <w:divBdr>
                    <w:top w:val="none" w:sz="0" w:space="0" w:color="auto"/>
                    <w:left w:val="none" w:sz="0" w:space="0" w:color="auto"/>
                    <w:bottom w:val="none" w:sz="0" w:space="0" w:color="auto"/>
                    <w:right w:val="none" w:sz="0" w:space="0" w:color="auto"/>
                  </w:divBdr>
                  <w:divsChild>
                    <w:div w:id="25101753">
                      <w:marLeft w:val="0"/>
                      <w:marRight w:val="0"/>
                      <w:marTop w:val="0"/>
                      <w:marBottom w:val="0"/>
                      <w:divBdr>
                        <w:top w:val="none" w:sz="0" w:space="0" w:color="auto"/>
                        <w:left w:val="none" w:sz="0" w:space="0" w:color="auto"/>
                        <w:bottom w:val="none" w:sz="0" w:space="0" w:color="auto"/>
                        <w:right w:val="none" w:sz="0" w:space="0" w:color="auto"/>
                      </w:divBdr>
                      <w:divsChild>
                        <w:div w:id="251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1752">
      <w:marLeft w:val="0"/>
      <w:marRight w:val="0"/>
      <w:marTop w:val="0"/>
      <w:marBottom w:val="0"/>
      <w:divBdr>
        <w:top w:val="none" w:sz="0" w:space="0" w:color="auto"/>
        <w:left w:val="none" w:sz="0" w:space="0" w:color="auto"/>
        <w:bottom w:val="none" w:sz="0" w:space="0" w:color="auto"/>
        <w:right w:val="none" w:sz="0" w:space="0" w:color="auto"/>
      </w:divBdr>
    </w:div>
    <w:div w:id="25101756">
      <w:marLeft w:val="0"/>
      <w:marRight w:val="0"/>
      <w:marTop w:val="0"/>
      <w:marBottom w:val="0"/>
      <w:divBdr>
        <w:top w:val="none" w:sz="0" w:space="0" w:color="auto"/>
        <w:left w:val="none" w:sz="0" w:space="0" w:color="auto"/>
        <w:bottom w:val="none" w:sz="0" w:space="0" w:color="auto"/>
        <w:right w:val="none" w:sz="0" w:space="0" w:color="auto"/>
      </w:divBdr>
      <w:divsChild>
        <w:div w:id="25101744">
          <w:marLeft w:val="0"/>
          <w:marRight w:val="0"/>
          <w:marTop w:val="0"/>
          <w:marBottom w:val="0"/>
          <w:divBdr>
            <w:top w:val="none" w:sz="0" w:space="0" w:color="auto"/>
            <w:left w:val="none" w:sz="0" w:space="0" w:color="auto"/>
            <w:bottom w:val="none" w:sz="0" w:space="0" w:color="auto"/>
            <w:right w:val="none" w:sz="0" w:space="0" w:color="auto"/>
          </w:divBdr>
          <w:divsChild>
            <w:div w:id="25101736">
              <w:marLeft w:val="0"/>
              <w:marRight w:val="0"/>
              <w:marTop w:val="0"/>
              <w:marBottom w:val="0"/>
              <w:divBdr>
                <w:top w:val="none" w:sz="0" w:space="0" w:color="auto"/>
                <w:left w:val="none" w:sz="0" w:space="0" w:color="auto"/>
                <w:bottom w:val="none" w:sz="0" w:space="0" w:color="auto"/>
                <w:right w:val="none" w:sz="0" w:space="0" w:color="auto"/>
              </w:divBdr>
              <w:divsChild>
                <w:div w:id="25101715">
                  <w:marLeft w:val="-300"/>
                  <w:marRight w:val="0"/>
                  <w:marTop w:val="0"/>
                  <w:marBottom w:val="0"/>
                  <w:divBdr>
                    <w:top w:val="none" w:sz="0" w:space="0" w:color="auto"/>
                    <w:left w:val="none" w:sz="0" w:space="0" w:color="auto"/>
                    <w:bottom w:val="none" w:sz="0" w:space="0" w:color="auto"/>
                    <w:right w:val="none" w:sz="0" w:space="0" w:color="auto"/>
                  </w:divBdr>
                  <w:divsChild>
                    <w:div w:id="25101735">
                      <w:marLeft w:val="0"/>
                      <w:marRight w:val="0"/>
                      <w:marTop w:val="0"/>
                      <w:marBottom w:val="0"/>
                      <w:divBdr>
                        <w:top w:val="none" w:sz="0" w:space="0" w:color="auto"/>
                        <w:left w:val="none" w:sz="0" w:space="0" w:color="auto"/>
                        <w:bottom w:val="none" w:sz="0" w:space="0" w:color="auto"/>
                        <w:right w:val="none" w:sz="0" w:space="0" w:color="auto"/>
                      </w:divBdr>
                      <w:divsChild>
                        <w:div w:id="25101755">
                          <w:marLeft w:val="0"/>
                          <w:marRight w:val="0"/>
                          <w:marTop w:val="0"/>
                          <w:marBottom w:val="0"/>
                          <w:divBdr>
                            <w:top w:val="none" w:sz="0" w:space="0" w:color="auto"/>
                            <w:left w:val="none" w:sz="0" w:space="0" w:color="auto"/>
                            <w:bottom w:val="none" w:sz="0" w:space="0" w:color="auto"/>
                            <w:right w:val="none" w:sz="0" w:space="0" w:color="auto"/>
                          </w:divBdr>
                          <w:divsChild>
                            <w:div w:id="2510173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FC48-2DA6-47A9-888F-6567AE9A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LOGO</vt:lpstr>
    </vt:vector>
  </TitlesOfParts>
  <Company>Hewlett-Packard Company</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creator>IT</dc:creator>
  <cp:lastModifiedBy>RILEY, Caroline (LEEDS TEACHING HOSPITALS NHS TRUST)</cp:lastModifiedBy>
  <cp:revision>3</cp:revision>
  <dcterms:created xsi:type="dcterms:W3CDTF">2023-02-27T09:44:00Z</dcterms:created>
  <dcterms:modified xsi:type="dcterms:W3CDTF">2023-02-27T09:44:00Z</dcterms:modified>
</cp:coreProperties>
</file>