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B2B97" w14:textId="6A3E4B45" w:rsidR="002E0F8A" w:rsidRDefault="002E0F8A" w:rsidP="009B04FE">
      <w:pPr>
        <w:jc w:val="right"/>
        <w:rPr>
          <w:b/>
          <w:sz w:val="28"/>
          <w:szCs w:val="28"/>
        </w:rPr>
      </w:pPr>
    </w:p>
    <w:p w14:paraId="33141C18" w14:textId="58613F4D" w:rsidR="002E0F8A" w:rsidRDefault="003947E5" w:rsidP="003947E5">
      <w:pPr>
        <w:tabs>
          <w:tab w:val="left" w:pos="11235"/>
        </w:tabs>
        <w:rPr>
          <w:b/>
          <w:sz w:val="28"/>
          <w:szCs w:val="28"/>
        </w:rPr>
      </w:pPr>
      <w:r>
        <w:rPr>
          <w:b/>
          <w:sz w:val="28"/>
          <w:szCs w:val="28"/>
        </w:rPr>
        <w:tab/>
      </w:r>
      <w:r w:rsidR="00F9469E">
        <w:rPr>
          <w:noProof/>
        </w:rPr>
        <w:drawing>
          <wp:inline distT="0" distB="0" distL="0" distR="0" wp14:anchorId="25C65700" wp14:editId="45044F4D">
            <wp:extent cx="1772920" cy="904875"/>
            <wp:effectExtent l="0" t="0" r="0" b="9525"/>
            <wp:docPr id="38" name="Picture 38" descr="G:\Policy Approval December 13\Templates\LTHT NHS logo v2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Policy Approval December 13\Templates\LTHT NHS logo v2 2017.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2920" cy="904875"/>
                    </a:xfrm>
                    <a:prstGeom prst="rect">
                      <a:avLst/>
                    </a:prstGeom>
                    <a:noFill/>
                    <a:ln>
                      <a:noFill/>
                    </a:ln>
                  </pic:spPr>
                </pic:pic>
              </a:graphicData>
            </a:graphic>
          </wp:inline>
        </w:drawing>
      </w:r>
    </w:p>
    <w:p w14:paraId="6380BC88" w14:textId="3DF8B865" w:rsidR="004F037E" w:rsidRDefault="002E486E" w:rsidP="004F037E">
      <w:pPr>
        <w:jc w:val="center"/>
        <w:rPr>
          <w:b/>
          <w:sz w:val="28"/>
          <w:szCs w:val="28"/>
        </w:rPr>
      </w:pPr>
      <w:r>
        <w:rPr>
          <w:b/>
          <w:sz w:val="28"/>
          <w:szCs w:val="28"/>
        </w:rPr>
        <w:t>NHS</w:t>
      </w:r>
      <w:r w:rsidR="00DE7E1A">
        <w:rPr>
          <w:b/>
          <w:sz w:val="28"/>
          <w:szCs w:val="28"/>
        </w:rPr>
        <w:t xml:space="preserve"> </w:t>
      </w:r>
      <w:r w:rsidR="001D2C8A" w:rsidRPr="00B0488A">
        <w:rPr>
          <w:b/>
          <w:sz w:val="28"/>
          <w:szCs w:val="28"/>
        </w:rPr>
        <w:t>Equality Delivery System</w:t>
      </w:r>
      <w:r w:rsidR="007D15DD">
        <w:rPr>
          <w:b/>
          <w:sz w:val="28"/>
          <w:szCs w:val="28"/>
        </w:rPr>
        <w:t xml:space="preserve"> (EDS2022)</w:t>
      </w:r>
    </w:p>
    <w:p w14:paraId="0656977F" w14:textId="3A883226" w:rsidR="004F037E" w:rsidRDefault="004F037E" w:rsidP="004F037E">
      <w:pPr>
        <w:jc w:val="center"/>
        <w:rPr>
          <w:b/>
          <w:sz w:val="28"/>
          <w:szCs w:val="28"/>
        </w:rPr>
      </w:pPr>
      <w:r>
        <w:rPr>
          <w:b/>
          <w:sz w:val="28"/>
          <w:szCs w:val="28"/>
        </w:rPr>
        <w:t>Domain 2</w:t>
      </w:r>
      <w:r w:rsidR="00B31068">
        <w:rPr>
          <w:b/>
          <w:sz w:val="28"/>
          <w:szCs w:val="28"/>
        </w:rPr>
        <w:t xml:space="preserve">: </w:t>
      </w:r>
      <w:r>
        <w:rPr>
          <w:b/>
          <w:sz w:val="28"/>
          <w:szCs w:val="28"/>
        </w:rPr>
        <w:t>Workforce Health &amp; Wellbeing</w:t>
      </w:r>
    </w:p>
    <w:p w14:paraId="36306022" w14:textId="77777777" w:rsidR="00B0488A" w:rsidRDefault="00F42267" w:rsidP="009B04FE">
      <w:pPr>
        <w:rPr>
          <w:b/>
          <w:sz w:val="28"/>
          <w:szCs w:val="28"/>
        </w:rPr>
      </w:pPr>
      <w:r>
        <w:rPr>
          <w:b/>
          <w:sz w:val="28"/>
          <w:szCs w:val="28"/>
        </w:rPr>
        <w:t xml:space="preserve"> </w:t>
      </w:r>
    </w:p>
    <w:p w14:paraId="6EA8CBF2" w14:textId="7B5080FF" w:rsidR="00EE7D2B" w:rsidRPr="00952158" w:rsidRDefault="00EE7D2B" w:rsidP="00EE7D2B">
      <w:pPr>
        <w:pStyle w:val="Heading2"/>
        <w:rPr>
          <w:b/>
          <w:bCs/>
          <w:sz w:val="28"/>
          <w:szCs w:val="28"/>
        </w:rPr>
      </w:pPr>
      <w:r w:rsidRPr="00952158">
        <w:rPr>
          <w:b/>
          <w:bCs/>
          <w:sz w:val="28"/>
          <w:szCs w:val="28"/>
        </w:rPr>
        <w:t>EDS Rating</w:t>
      </w:r>
      <w:r w:rsidR="00952158" w:rsidRPr="00952158">
        <w:rPr>
          <w:b/>
          <w:bCs/>
          <w:sz w:val="28"/>
          <w:szCs w:val="28"/>
        </w:rPr>
        <w:t>s</w:t>
      </w:r>
      <w:r w:rsidRPr="00952158">
        <w:rPr>
          <w:b/>
          <w:bCs/>
          <w:sz w:val="28"/>
          <w:szCs w:val="28"/>
        </w:rPr>
        <w:t xml:space="preserve"> </w:t>
      </w:r>
      <w:r w:rsidR="00952158" w:rsidRPr="00952158">
        <w:rPr>
          <w:b/>
          <w:bCs/>
          <w:sz w:val="28"/>
          <w:szCs w:val="28"/>
        </w:rPr>
        <w:t xml:space="preserve">&amp; Scores </w:t>
      </w:r>
    </w:p>
    <w:tbl>
      <w:tblPr>
        <w:tblStyle w:val="TableGrid"/>
        <w:tblW w:w="13598" w:type="dxa"/>
        <w:tblCellMar>
          <w:top w:w="62" w:type="dxa"/>
          <w:left w:w="62" w:type="dxa"/>
          <w:bottom w:w="62" w:type="dxa"/>
          <w:right w:w="62" w:type="dxa"/>
        </w:tblCellMar>
        <w:tblLook w:val="04A0" w:firstRow="1" w:lastRow="0" w:firstColumn="1" w:lastColumn="0" w:noHBand="0" w:noVBand="1"/>
      </w:tblPr>
      <w:tblGrid>
        <w:gridCol w:w="6799"/>
        <w:gridCol w:w="6799"/>
      </w:tblGrid>
      <w:tr w:rsidR="00EE7D2B" w:rsidRPr="009D1CC6" w14:paraId="02DAFB2B" w14:textId="77777777" w:rsidTr="000214BB">
        <w:tc>
          <w:tcPr>
            <w:tcW w:w="13598" w:type="dxa"/>
            <w:gridSpan w:val="2"/>
            <w:shd w:val="clear" w:color="auto" w:fill="D9E2F3" w:themeFill="accent1" w:themeFillTint="33"/>
          </w:tcPr>
          <w:p w14:paraId="40A0B137" w14:textId="0AC0E786" w:rsidR="00EE7D2B" w:rsidRPr="00952158" w:rsidRDefault="00952158" w:rsidP="00952158">
            <w:pPr>
              <w:rPr>
                <w:b/>
                <w:sz w:val="28"/>
                <w:szCs w:val="28"/>
              </w:rPr>
            </w:pPr>
            <w:r>
              <w:t xml:space="preserve">Refer to Pages 17 to 24 in the </w:t>
            </w:r>
            <w:hyperlink r:id="rId9" w:history="1">
              <w:r>
                <w:rPr>
                  <w:color w:val="0000FF"/>
                  <w:u w:val="single"/>
                </w:rPr>
                <w:t>EDS Ratings and Score Card Guidance</w:t>
              </w:r>
            </w:hyperlink>
            <w:r>
              <w:t xml:space="preserve"> for </w:t>
            </w:r>
            <w:r w:rsidR="00EE7D2B" w:rsidRPr="009D1CC6">
              <w:t>a full explanation of the new rating</w:t>
            </w:r>
            <w:r>
              <w:t xml:space="preserve"> and scoring </w:t>
            </w:r>
            <w:r w:rsidR="00EE7D2B" w:rsidRPr="009D1CC6">
              <w:t xml:space="preserve">procedure and </w:t>
            </w:r>
            <w:r>
              <w:t>to ensure r</w:t>
            </w:r>
            <w:r w:rsidR="00EE7D2B" w:rsidRPr="009D1CC6">
              <w:t>ating</w:t>
            </w:r>
            <w:r>
              <w:t xml:space="preserve">s and scores are </w:t>
            </w:r>
            <w:r w:rsidR="00EE7D2B" w:rsidRPr="009D1CC6">
              <w:t>correct</w:t>
            </w:r>
            <w:r>
              <w:t>.</w:t>
            </w:r>
          </w:p>
          <w:p w14:paraId="6FBB6963" w14:textId="77777777" w:rsidR="00EE7D2B" w:rsidRPr="009D1CC6" w:rsidRDefault="00EE7D2B" w:rsidP="000214BB">
            <w:pPr>
              <w:pStyle w:val="TableText"/>
            </w:pPr>
          </w:p>
          <w:p w14:paraId="03C6F613" w14:textId="55E79234" w:rsidR="00EE7D2B" w:rsidRPr="009D1CC6" w:rsidRDefault="00952158" w:rsidP="000214BB">
            <w:pPr>
              <w:pStyle w:val="TableText"/>
            </w:pPr>
            <w:r>
              <w:t xml:space="preserve">Each </w:t>
            </w:r>
            <w:r w:rsidR="00EE7D2B" w:rsidRPr="009D1CC6">
              <w:t>outcome</w:t>
            </w:r>
            <w:r>
              <w:t xml:space="preserve"> must be scored and all s</w:t>
            </w:r>
            <w:r w:rsidR="00EE7D2B" w:rsidRPr="009D1CC6">
              <w:t xml:space="preserve">cores of all outcomes </w:t>
            </w:r>
            <w:r>
              <w:t xml:space="preserve">added </w:t>
            </w:r>
            <w:r w:rsidR="00EE7D2B" w:rsidRPr="009D1CC6">
              <w:t xml:space="preserve">together. This will provide </w:t>
            </w:r>
            <w:r>
              <w:t xml:space="preserve">the </w:t>
            </w:r>
            <w:r w:rsidR="00EE7D2B" w:rsidRPr="009D1CC6">
              <w:t>overall score</w:t>
            </w:r>
            <w:r>
              <w:t xml:space="preserve"> and the </w:t>
            </w:r>
            <w:r w:rsidR="00EE7D2B" w:rsidRPr="009D1CC6">
              <w:t xml:space="preserve">EDS Organisation Rating. Ratings in accordance </w:t>
            </w:r>
            <w:proofErr w:type="gramStart"/>
            <w:r w:rsidR="00EE7D2B" w:rsidRPr="009D1CC6">
              <w:t>to</w:t>
            </w:r>
            <w:proofErr w:type="gramEnd"/>
            <w:r w:rsidR="00EE7D2B" w:rsidRPr="009D1CC6">
              <w:t xml:space="preserve"> scores are below</w:t>
            </w:r>
            <w:r>
              <w:t>:</w:t>
            </w:r>
          </w:p>
        </w:tc>
      </w:tr>
      <w:tr w:rsidR="00EE7D2B" w:rsidRPr="009D1CC6" w14:paraId="4D029427" w14:textId="77777777" w:rsidTr="00952158">
        <w:trPr>
          <w:trHeight w:val="428"/>
        </w:trPr>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848DBEC" w14:textId="4FC596B1" w:rsidR="00EE7D2B" w:rsidRPr="009D1CC6" w:rsidRDefault="00EE7D2B" w:rsidP="000214BB">
            <w:r w:rsidRPr="009D1CC6">
              <w:rPr>
                <w:b/>
                <w:color w:val="C00000"/>
              </w:rPr>
              <w:t>Undeveloped activity</w:t>
            </w:r>
            <w:r w:rsidRPr="009D1CC6">
              <w:t xml:space="preserve"> – </w:t>
            </w:r>
            <w:r w:rsidRPr="009D1CC6">
              <w:rPr>
                <w:b/>
              </w:rPr>
              <w:t xml:space="preserve">organisations score </w:t>
            </w:r>
            <w:r w:rsidRPr="00D12056">
              <w:rPr>
                <w:b/>
              </w:rPr>
              <w:t>0 for each outcome</w:t>
            </w:r>
          </w:p>
        </w:tc>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E2999EA" w14:textId="77777777" w:rsidR="00EE7D2B" w:rsidRPr="009D1CC6" w:rsidRDefault="00EE7D2B" w:rsidP="000214BB">
            <w:pPr>
              <w:rPr>
                <w:b/>
                <w:color w:val="7030A0"/>
              </w:rPr>
            </w:pPr>
            <w:r w:rsidRPr="009D1CC6">
              <w:t xml:space="preserve">Those who score </w:t>
            </w:r>
            <w:r w:rsidRPr="009D1CC6">
              <w:rPr>
                <w:b/>
              </w:rPr>
              <w:t>under 8,</w:t>
            </w:r>
            <w:r w:rsidRPr="009D1CC6">
              <w:t xml:space="preserve"> adding all outcome scores in all domains, are rated </w:t>
            </w:r>
            <w:r w:rsidRPr="009D1CC6">
              <w:rPr>
                <w:b/>
                <w:color w:val="C00000"/>
              </w:rPr>
              <w:t>Undeveloped</w:t>
            </w:r>
            <w:r w:rsidRPr="009D1CC6">
              <w:t xml:space="preserve"> </w:t>
            </w:r>
          </w:p>
        </w:tc>
      </w:tr>
      <w:tr w:rsidR="00EE7D2B" w:rsidRPr="009D1CC6" w14:paraId="314BFDB8" w14:textId="77777777" w:rsidTr="00952158">
        <w:trPr>
          <w:trHeight w:val="452"/>
        </w:trPr>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6FA769A" w14:textId="5EBEA270" w:rsidR="00EE7D2B" w:rsidRPr="009D1CC6" w:rsidRDefault="00EE7D2B" w:rsidP="000214BB">
            <w:r w:rsidRPr="009D1CC6">
              <w:rPr>
                <w:b/>
                <w:color w:val="BF8F00" w:themeColor="accent4" w:themeShade="BF"/>
              </w:rPr>
              <w:t>Developing activity</w:t>
            </w:r>
            <w:r w:rsidRPr="009D1CC6">
              <w:t xml:space="preserve"> – </w:t>
            </w:r>
            <w:r w:rsidRPr="009D1CC6">
              <w:rPr>
                <w:b/>
              </w:rPr>
              <w:t xml:space="preserve">organisations score 1 </w:t>
            </w:r>
            <w:r w:rsidRPr="00D12056">
              <w:rPr>
                <w:b/>
                <w:bCs/>
              </w:rPr>
              <w:t>for each outcome</w:t>
            </w:r>
          </w:p>
        </w:tc>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1A4FB5E" w14:textId="77777777" w:rsidR="00EE7D2B" w:rsidRPr="009D1CC6" w:rsidRDefault="00EE7D2B" w:rsidP="000214BB">
            <w:r w:rsidRPr="009D1CC6">
              <w:t xml:space="preserve">Those who score </w:t>
            </w:r>
            <w:r w:rsidRPr="009D1CC6">
              <w:rPr>
                <w:b/>
              </w:rPr>
              <w:t>between 8 and 21,</w:t>
            </w:r>
            <w:r w:rsidRPr="009D1CC6">
              <w:t xml:space="preserve"> adding all outcome scores in all domains, are rated </w:t>
            </w:r>
            <w:r w:rsidRPr="009D1CC6">
              <w:rPr>
                <w:b/>
                <w:color w:val="BF8F00" w:themeColor="accent4" w:themeShade="BF"/>
              </w:rPr>
              <w:t>Developing</w:t>
            </w:r>
          </w:p>
        </w:tc>
      </w:tr>
      <w:tr w:rsidR="00EE7D2B" w:rsidRPr="009D1CC6" w14:paraId="74C4A0B2" w14:textId="77777777" w:rsidTr="00952158">
        <w:trPr>
          <w:trHeight w:val="603"/>
        </w:trPr>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B515B01" w14:textId="52ABEF05" w:rsidR="00EE7D2B" w:rsidRPr="009D1CC6" w:rsidRDefault="00EE7D2B" w:rsidP="000214BB">
            <w:r w:rsidRPr="009D1CC6">
              <w:rPr>
                <w:b/>
                <w:color w:val="00B050"/>
              </w:rPr>
              <w:t>Achieving activity</w:t>
            </w:r>
            <w:r w:rsidRPr="009D1CC6">
              <w:t xml:space="preserve"> – </w:t>
            </w:r>
            <w:r w:rsidRPr="009D1CC6">
              <w:rPr>
                <w:b/>
              </w:rPr>
              <w:t xml:space="preserve">organisations score 2 </w:t>
            </w:r>
            <w:r w:rsidRPr="00D12056">
              <w:rPr>
                <w:b/>
                <w:bCs/>
              </w:rPr>
              <w:t>for each outcome</w:t>
            </w:r>
          </w:p>
        </w:tc>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B1D0E92" w14:textId="77777777" w:rsidR="00EE7D2B" w:rsidRPr="009D1CC6" w:rsidRDefault="00EE7D2B" w:rsidP="000214BB">
            <w:r w:rsidRPr="009D1CC6">
              <w:t xml:space="preserve">Those who score </w:t>
            </w:r>
            <w:r w:rsidRPr="009D1CC6">
              <w:rPr>
                <w:b/>
              </w:rPr>
              <w:t>between 22 and 32,</w:t>
            </w:r>
            <w:r w:rsidRPr="009D1CC6">
              <w:t xml:space="preserve"> adding all outcome scores in all domains, are rated</w:t>
            </w:r>
            <w:r w:rsidRPr="009D1CC6">
              <w:rPr>
                <w:b/>
                <w:color w:val="7030A0"/>
              </w:rPr>
              <w:t xml:space="preserve"> </w:t>
            </w:r>
            <w:r w:rsidRPr="009D1CC6">
              <w:rPr>
                <w:b/>
                <w:color w:val="00B050"/>
              </w:rPr>
              <w:t>Achieving</w:t>
            </w:r>
          </w:p>
        </w:tc>
      </w:tr>
      <w:tr w:rsidR="00EE7D2B" w:rsidRPr="009D1CC6" w14:paraId="4DFD857C" w14:textId="77777777" w:rsidTr="00952158">
        <w:trPr>
          <w:trHeight w:val="445"/>
        </w:trPr>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655CC91" w14:textId="79A0735F" w:rsidR="00EE7D2B" w:rsidRPr="009D1CC6" w:rsidRDefault="00EE7D2B" w:rsidP="000214BB">
            <w:r w:rsidRPr="009D1CC6">
              <w:rPr>
                <w:b/>
                <w:color w:val="7030A0"/>
              </w:rPr>
              <w:t>Excelling activity</w:t>
            </w:r>
            <w:r w:rsidRPr="009D1CC6">
              <w:t xml:space="preserve"> – </w:t>
            </w:r>
            <w:r w:rsidRPr="009D1CC6">
              <w:rPr>
                <w:b/>
              </w:rPr>
              <w:t xml:space="preserve">organisations score 3 </w:t>
            </w:r>
            <w:r w:rsidRPr="00D12056">
              <w:rPr>
                <w:b/>
                <w:bCs/>
              </w:rPr>
              <w:t xml:space="preserve">for </w:t>
            </w:r>
            <w:r w:rsidR="00D12056" w:rsidRPr="00D12056">
              <w:rPr>
                <w:b/>
                <w:bCs/>
              </w:rPr>
              <w:t xml:space="preserve">most </w:t>
            </w:r>
            <w:r w:rsidRPr="00D12056">
              <w:rPr>
                <w:b/>
                <w:bCs/>
              </w:rPr>
              <w:t>outcome</w:t>
            </w:r>
            <w:r w:rsidR="00D12056" w:rsidRPr="00D12056">
              <w:rPr>
                <w:b/>
                <w:bCs/>
              </w:rPr>
              <w:t>s</w:t>
            </w:r>
          </w:p>
        </w:tc>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495B2EA" w14:textId="77777777" w:rsidR="00EE7D2B" w:rsidRPr="009D1CC6" w:rsidRDefault="00EE7D2B" w:rsidP="000214BB">
            <w:r w:rsidRPr="009D1CC6">
              <w:t xml:space="preserve">Those who score </w:t>
            </w:r>
            <w:r w:rsidRPr="009D1CC6">
              <w:rPr>
                <w:b/>
              </w:rPr>
              <w:t>33,</w:t>
            </w:r>
            <w:r w:rsidRPr="009D1CC6">
              <w:t xml:space="preserve"> adding all outcome scores in all domains, are rated</w:t>
            </w:r>
            <w:r w:rsidRPr="009D1CC6">
              <w:rPr>
                <w:b/>
                <w:color w:val="7030A0"/>
              </w:rPr>
              <w:t xml:space="preserve"> Excelling</w:t>
            </w:r>
          </w:p>
        </w:tc>
      </w:tr>
    </w:tbl>
    <w:p w14:paraId="5AAB3E1C" w14:textId="767A9202" w:rsidR="00EE7D2B" w:rsidRDefault="00EE7D2B" w:rsidP="001D2C8A">
      <w:pPr>
        <w:jc w:val="center"/>
        <w:rPr>
          <w:b/>
          <w:sz w:val="28"/>
          <w:szCs w:val="28"/>
        </w:rPr>
      </w:pPr>
    </w:p>
    <w:p w14:paraId="57404EC3" w14:textId="1DF30F5E" w:rsidR="00EE7D2B" w:rsidRDefault="00EE7D2B" w:rsidP="001D2C8A">
      <w:pPr>
        <w:jc w:val="center"/>
        <w:rPr>
          <w:b/>
          <w:sz w:val="28"/>
          <w:szCs w:val="28"/>
        </w:rPr>
      </w:pPr>
    </w:p>
    <w:p w14:paraId="5829C210" w14:textId="57EABA45" w:rsidR="00EE7D2B" w:rsidRDefault="00EE7D2B" w:rsidP="001D2C8A">
      <w:pPr>
        <w:jc w:val="center"/>
        <w:rPr>
          <w:b/>
          <w:sz w:val="28"/>
          <w:szCs w:val="28"/>
        </w:rPr>
      </w:pPr>
    </w:p>
    <w:p w14:paraId="7027553D" w14:textId="1CE432E8" w:rsidR="00EE7D2B" w:rsidRDefault="00EE7D2B" w:rsidP="001D2C8A">
      <w:pPr>
        <w:jc w:val="center"/>
        <w:rPr>
          <w:b/>
          <w:sz w:val="28"/>
          <w:szCs w:val="28"/>
        </w:rPr>
      </w:pPr>
    </w:p>
    <w:p w14:paraId="7981B649" w14:textId="77777777" w:rsidR="00EE7D2B" w:rsidRDefault="00EE7D2B" w:rsidP="001D2C8A">
      <w:pPr>
        <w:jc w:val="center"/>
        <w:rPr>
          <w:b/>
          <w:sz w:val="28"/>
          <w:szCs w:val="28"/>
        </w:rPr>
      </w:pPr>
    </w:p>
    <w:tbl>
      <w:tblPr>
        <w:tblStyle w:val="TableGrid"/>
        <w:tblW w:w="0" w:type="auto"/>
        <w:tblInd w:w="-431" w:type="dxa"/>
        <w:tblLook w:val="04A0" w:firstRow="1" w:lastRow="0" w:firstColumn="1" w:lastColumn="0" w:noHBand="0" w:noVBand="1"/>
      </w:tblPr>
      <w:tblGrid>
        <w:gridCol w:w="1970"/>
        <w:gridCol w:w="3218"/>
        <w:gridCol w:w="6573"/>
        <w:gridCol w:w="1363"/>
        <w:gridCol w:w="1903"/>
      </w:tblGrid>
      <w:tr w:rsidR="00F74187" w14:paraId="53BC11BD" w14:textId="77777777" w:rsidTr="00532B2D">
        <w:trPr>
          <w:tblHeader/>
        </w:trPr>
        <w:tc>
          <w:tcPr>
            <w:tcW w:w="1970" w:type="dxa"/>
            <w:shd w:val="clear" w:color="auto" w:fill="D9E2F3" w:themeFill="accent1" w:themeFillTint="33"/>
          </w:tcPr>
          <w:p w14:paraId="0BECA160" w14:textId="1042FB4D" w:rsidR="00F74187" w:rsidRDefault="00F74187" w:rsidP="001D2C8A">
            <w:pPr>
              <w:jc w:val="center"/>
              <w:rPr>
                <w:b/>
                <w:sz w:val="28"/>
                <w:szCs w:val="28"/>
              </w:rPr>
            </w:pPr>
            <w:bookmarkStart w:id="0" w:name="_Hlk126757866"/>
            <w:bookmarkStart w:id="1" w:name="_Hlk126757770"/>
            <w:r>
              <w:rPr>
                <w:b/>
                <w:sz w:val="28"/>
                <w:szCs w:val="28"/>
              </w:rPr>
              <w:lastRenderedPageBreak/>
              <w:t>Domain</w:t>
            </w:r>
            <w:r w:rsidR="009B04FE">
              <w:rPr>
                <w:b/>
                <w:sz w:val="28"/>
                <w:szCs w:val="28"/>
              </w:rPr>
              <w:t xml:space="preserve"> </w:t>
            </w:r>
            <w:r w:rsidR="003C633F">
              <w:rPr>
                <w:b/>
                <w:sz w:val="28"/>
                <w:szCs w:val="28"/>
              </w:rPr>
              <w:t>2</w:t>
            </w:r>
          </w:p>
        </w:tc>
        <w:tc>
          <w:tcPr>
            <w:tcW w:w="3218" w:type="dxa"/>
            <w:shd w:val="clear" w:color="auto" w:fill="D9E2F3" w:themeFill="accent1" w:themeFillTint="33"/>
          </w:tcPr>
          <w:p w14:paraId="0FF78ABD" w14:textId="1C991174" w:rsidR="00F74187" w:rsidRDefault="00F74187" w:rsidP="001D2C8A">
            <w:pPr>
              <w:jc w:val="center"/>
              <w:rPr>
                <w:b/>
                <w:sz w:val="28"/>
                <w:szCs w:val="28"/>
              </w:rPr>
            </w:pPr>
            <w:r>
              <w:rPr>
                <w:b/>
                <w:sz w:val="28"/>
                <w:szCs w:val="28"/>
              </w:rPr>
              <w:t>Outcome</w:t>
            </w:r>
          </w:p>
        </w:tc>
        <w:tc>
          <w:tcPr>
            <w:tcW w:w="6573" w:type="dxa"/>
            <w:shd w:val="clear" w:color="auto" w:fill="D9E2F3" w:themeFill="accent1" w:themeFillTint="33"/>
          </w:tcPr>
          <w:p w14:paraId="2692243E" w14:textId="5BD410C1" w:rsidR="00F74187" w:rsidRDefault="009B04FE" w:rsidP="001D2C8A">
            <w:pPr>
              <w:jc w:val="center"/>
              <w:rPr>
                <w:b/>
                <w:sz w:val="28"/>
                <w:szCs w:val="28"/>
              </w:rPr>
            </w:pPr>
            <w:r>
              <w:rPr>
                <w:b/>
                <w:sz w:val="28"/>
                <w:szCs w:val="28"/>
              </w:rPr>
              <w:t>Evidence</w:t>
            </w:r>
          </w:p>
        </w:tc>
        <w:tc>
          <w:tcPr>
            <w:tcW w:w="1363" w:type="dxa"/>
            <w:shd w:val="clear" w:color="auto" w:fill="D9E2F3" w:themeFill="accent1" w:themeFillTint="33"/>
          </w:tcPr>
          <w:p w14:paraId="48F23DF9" w14:textId="77777777" w:rsidR="00F9469E" w:rsidRDefault="00F9469E" w:rsidP="001D2C8A">
            <w:pPr>
              <w:jc w:val="center"/>
              <w:rPr>
                <w:b/>
                <w:sz w:val="28"/>
                <w:szCs w:val="28"/>
              </w:rPr>
            </w:pPr>
            <w:r>
              <w:rPr>
                <w:b/>
                <w:sz w:val="28"/>
                <w:szCs w:val="28"/>
              </w:rPr>
              <w:t>Score/</w:t>
            </w:r>
          </w:p>
          <w:p w14:paraId="4F851F1C" w14:textId="0F624B5F" w:rsidR="00F74187" w:rsidRDefault="009B04FE" w:rsidP="001D2C8A">
            <w:pPr>
              <w:jc w:val="center"/>
              <w:rPr>
                <w:b/>
                <w:sz w:val="28"/>
                <w:szCs w:val="28"/>
              </w:rPr>
            </w:pPr>
            <w:r>
              <w:rPr>
                <w:b/>
                <w:sz w:val="28"/>
                <w:szCs w:val="28"/>
              </w:rPr>
              <w:t>Rating</w:t>
            </w:r>
          </w:p>
        </w:tc>
        <w:tc>
          <w:tcPr>
            <w:tcW w:w="1903" w:type="dxa"/>
            <w:shd w:val="clear" w:color="auto" w:fill="D9E2F3" w:themeFill="accent1" w:themeFillTint="33"/>
          </w:tcPr>
          <w:p w14:paraId="4107650A" w14:textId="58338EF8" w:rsidR="00F74187" w:rsidRDefault="009B04FE" w:rsidP="001D2C8A">
            <w:pPr>
              <w:jc w:val="center"/>
              <w:rPr>
                <w:b/>
                <w:sz w:val="28"/>
                <w:szCs w:val="28"/>
              </w:rPr>
            </w:pPr>
            <w:r>
              <w:rPr>
                <w:b/>
                <w:sz w:val="28"/>
                <w:szCs w:val="28"/>
              </w:rPr>
              <w:t>Owner/Lead</w:t>
            </w:r>
          </w:p>
        </w:tc>
      </w:tr>
      <w:bookmarkEnd w:id="0"/>
      <w:tr w:rsidR="00F74187" w:rsidRPr="00153049" w14:paraId="280A8D31" w14:textId="77777777" w:rsidTr="00532B2D">
        <w:tc>
          <w:tcPr>
            <w:tcW w:w="1970" w:type="dxa"/>
          </w:tcPr>
          <w:p w14:paraId="71016915" w14:textId="55B1714F" w:rsidR="00F74187" w:rsidRPr="00153049" w:rsidRDefault="00B75BD6" w:rsidP="001D2C8A">
            <w:pPr>
              <w:jc w:val="center"/>
              <w:rPr>
                <w:b/>
              </w:rPr>
            </w:pPr>
            <w:r w:rsidRPr="00153049">
              <w:rPr>
                <w:b/>
              </w:rPr>
              <w:t xml:space="preserve"> Workforce health and well-being</w:t>
            </w:r>
          </w:p>
        </w:tc>
        <w:tc>
          <w:tcPr>
            <w:tcW w:w="3218" w:type="dxa"/>
          </w:tcPr>
          <w:p w14:paraId="3D86CD27" w14:textId="093C4550" w:rsidR="00F74187" w:rsidRPr="00153049" w:rsidRDefault="003C633F" w:rsidP="001D2C8A">
            <w:pPr>
              <w:jc w:val="center"/>
              <w:rPr>
                <w:b/>
              </w:rPr>
            </w:pPr>
            <w:r w:rsidRPr="00153049">
              <w:rPr>
                <w:b/>
              </w:rPr>
              <w:t>2</w:t>
            </w:r>
            <w:r w:rsidR="009B04FE" w:rsidRPr="00153049">
              <w:rPr>
                <w:b/>
              </w:rPr>
              <w:t xml:space="preserve">A: When at work, staff are provided with support to manage obesity, diabetes, asthma, </w:t>
            </w:r>
            <w:proofErr w:type="gramStart"/>
            <w:r w:rsidR="009B04FE" w:rsidRPr="00153049">
              <w:rPr>
                <w:b/>
              </w:rPr>
              <w:t>COPD</w:t>
            </w:r>
            <w:proofErr w:type="gramEnd"/>
            <w:r w:rsidR="009B04FE" w:rsidRPr="00153049">
              <w:rPr>
                <w:b/>
              </w:rPr>
              <w:t xml:space="preserve"> and mental health conditions</w:t>
            </w:r>
          </w:p>
          <w:p w14:paraId="2A3D0EB3" w14:textId="77777777" w:rsidR="004446CB" w:rsidRPr="00153049" w:rsidRDefault="004446CB" w:rsidP="001D2C8A">
            <w:pPr>
              <w:jc w:val="center"/>
              <w:rPr>
                <w:b/>
              </w:rPr>
            </w:pPr>
          </w:p>
          <w:p w14:paraId="065F3A33" w14:textId="77777777" w:rsidR="004446CB" w:rsidRPr="00153049" w:rsidRDefault="004446CB" w:rsidP="001D2C8A">
            <w:pPr>
              <w:jc w:val="center"/>
              <w:rPr>
                <w:b/>
              </w:rPr>
            </w:pPr>
          </w:p>
          <w:p w14:paraId="088F4734" w14:textId="77777777" w:rsidR="004446CB" w:rsidRPr="00153049" w:rsidRDefault="004446CB" w:rsidP="001D2C8A">
            <w:pPr>
              <w:jc w:val="center"/>
              <w:rPr>
                <w:b/>
              </w:rPr>
            </w:pPr>
          </w:p>
          <w:p w14:paraId="73826FE5" w14:textId="77777777" w:rsidR="004446CB" w:rsidRPr="00153049" w:rsidRDefault="004446CB" w:rsidP="001D2C8A">
            <w:pPr>
              <w:jc w:val="center"/>
              <w:rPr>
                <w:b/>
              </w:rPr>
            </w:pPr>
          </w:p>
          <w:p w14:paraId="4BDD3469" w14:textId="77777777" w:rsidR="004446CB" w:rsidRPr="00153049" w:rsidRDefault="004446CB" w:rsidP="001D2C8A">
            <w:pPr>
              <w:jc w:val="center"/>
              <w:rPr>
                <w:b/>
              </w:rPr>
            </w:pPr>
          </w:p>
          <w:p w14:paraId="5E293A45" w14:textId="6E0B8AEA" w:rsidR="004446CB" w:rsidRPr="00153049" w:rsidRDefault="004446CB" w:rsidP="001D2C8A">
            <w:pPr>
              <w:jc w:val="center"/>
              <w:rPr>
                <w:b/>
              </w:rPr>
            </w:pPr>
          </w:p>
        </w:tc>
        <w:tc>
          <w:tcPr>
            <w:tcW w:w="6573" w:type="dxa"/>
          </w:tcPr>
          <w:p w14:paraId="565956D8" w14:textId="4BE48E2B" w:rsidR="00021C1A" w:rsidRPr="00153049" w:rsidRDefault="00021C1A" w:rsidP="00021C1A">
            <w:r w:rsidRPr="00153049">
              <w:rPr>
                <w:shd w:val="clear" w:color="auto" w:fill="FFFFFF"/>
              </w:rPr>
              <w:t xml:space="preserve">The Trust provides a comprehensive range of employee support services to ensure </w:t>
            </w:r>
            <w:r w:rsidR="00D4039F" w:rsidRPr="00153049">
              <w:rPr>
                <w:shd w:val="clear" w:color="auto" w:fill="FFFFFF"/>
              </w:rPr>
              <w:t xml:space="preserve">each </w:t>
            </w:r>
            <w:r w:rsidRPr="00153049">
              <w:rPr>
                <w:shd w:val="clear" w:color="auto" w:fill="FFFFFF"/>
              </w:rPr>
              <w:t>member of staff has the support they need at work to manage all health condition</w:t>
            </w:r>
            <w:r w:rsidR="00D4039F" w:rsidRPr="00153049">
              <w:rPr>
                <w:shd w:val="clear" w:color="auto" w:fill="FFFFFF"/>
              </w:rPr>
              <w:t>s</w:t>
            </w:r>
            <w:r w:rsidRPr="00153049">
              <w:rPr>
                <w:shd w:val="clear" w:color="auto" w:fill="FFFFFF"/>
              </w:rPr>
              <w:t xml:space="preserve">, including obesity, diabetes, asthma, </w:t>
            </w:r>
            <w:proofErr w:type="gramStart"/>
            <w:r w:rsidRPr="00153049">
              <w:rPr>
                <w:shd w:val="clear" w:color="auto" w:fill="FFFFFF"/>
              </w:rPr>
              <w:t>COPD</w:t>
            </w:r>
            <w:proofErr w:type="gramEnd"/>
            <w:r w:rsidRPr="00153049">
              <w:rPr>
                <w:shd w:val="clear" w:color="auto" w:fill="FFFFFF"/>
              </w:rPr>
              <w:t xml:space="preserve"> and mental health conditions. The Trust has an </w:t>
            </w:r>
            <w:hyperlink r:id="rId10" w:tgtFrame="_blank" w:tooltip="https://intranet.leedsth.nhs.uk/departments/human-resources-hr/staff-health-wellbeing-support/staff-mental-wellbeing/care-first-employee-assistance-programme-eap/" w:history="1">
              <w:r w:rsidRPr="00153049">
                <w:t>Employee Assistance Programme</w:t>
              </w:r>
            </w:hyperlink>
            <w:r w:rsidRPr="00153049">
              <w:rPr>
                <w:shd w:val="clear" w:color="auto" w:fill="FFFFFF"/>
              </w:rPr>
              <w:t> (EAP), which provides independent and confidential advice and counselling, a confidential </w:t>
            </w:r>
            <w:hyperlink r:id="rId11" w:tgtFrame="_blank" w:tooltip="https://intranet.leedsth.nhs.uk/departments/human-resources-hr/staff-health-wellbeing-support/ltht-staff-support-services/mental-health-first-aid/internal/return-to-the-workplace-counselling-service-for-staff-who-have-been-shielding-due-to-covid-19/" w:history="1">
              <w:r w:rsidRPr="00153049">
                <w:t>Staff Counselling Service</w:t>
              </w:r>
            </w:hyperlink>
            <w:r w:rsidRPr="00153049">
              <w:rPr>
                <w:shd w:val="clear" w:color="auto" w:fill="FFFFFF"/>
              </w:rPr>
              <w:t>, an </w:t>
            </w:r>
            <w:hyperlink r:id="rId12" w:tgtFrame="_blank" w:tooltip="https://intranet.leedsth.nhs.uk/departments/human-resources-hr/staff-health-wellbeing-support/ltht-staff-support-services/occupational-health/" w:history="1">
              <w:r w:rsidRPr="00153049">
                <w:rPr>
                  <w:iCs/>
                </w:rPr>
                <w:t>Occupational Health Service</w:t>
              </w:r>
            </w:hyperlink>
            <w:r w:rsidRPr="00153049">
              <w:rPr>
                <w:shd w:val="clear" w:color="auto" w:fill="FFFFFF"/>
              </w:rPr>
              <w:t> and a </w:t>
            </w:r>
            <w:hyperlink r:id="rId13" w:tgtFrame="_blank" w:tooltip="https://intranet.leedsth.nhs.uk/departments/human-resources-hr/staff-health-wellbeing-support/ltht-staff-support-services/pastoral-care-chaplaincy-support/" w:history="1">
              <w:r w:rsidRPr="00153049">
                <w:t>Chaplaincy Service</w:t>
              </w:r>
            </w:hyperlink>
            <w:r w:rsidR="00394CF4" w:rsidRPr="00153049">
              <w:t>, which provides support to both patients and staff</w:t>
            </w:r>
            <w:r w:rsidRPr="00153049">
              <w:t>.</w:t>
            </w:r>
            <w:r w:rsidR="00D4039F" w:rsidRPr="00153049">
              <w:t xml:space="preserve"> In addition, the Trust has Mental First Aiders </w:t>
            </w:r>
            <w:r w:rsidR="00394CF4" w:rsidRPr="00153049">
              <w:t xml:space="preserve">and a range of staff networks representing all protected characteristics to ensure barriers to access to staff services and support are raised and addressed. This includes a Men’s Health Network. </w:t>
            </w:r>
          </w:p>
          <w:p w14:paraId="1A2EF039" w14:textId="15C28411" w:rsidR="004F037E" w:rsidRPr="00153049" w:rsidRDefault="004F037E" w:rsidP="00021C1A"/>
          <w:p w14:paraId="330C6A6D" w14:textId="77777777" w:rsidR="00F74187" w:rsidRPr="00153049" w:rsidRDefault="004F037E" w:rsidP="004F037E">
            <w:pPr>
              <w:rPr>
                <w:rFonts w:eastAsia="Arial"/>
              </w:rPr>
            </w:pPr>
            <w:r w:rsidRPr="00153049">
              <w:rPr>
                <w:rFonts w:eastAsia="Arial"/>
              </w:rPr>
              <w:t xml:space="preserve">Significant focus has been placed on increasing flexibility within the Trust, advocating its use as a solution to current workforce challenges, to positively impact workforce capacity and gaps, engagement, </w:t>
            </w:r>
            <w:proofErr w:type="gramStart"/>
            <w:r w:rsidRPr="00153049">
              <w:rPr>
                <w:rFonts w:eastAsia="Arial"/>
              </w:rPr>
              <w:t>retention</w:t>
            </w:r>
            <w:proofErr w:type="gramEnd"/>
            <w:r w:rsidRPr="00153049">
              <w:rPr>
                <w:rFonts w:eastAsia="Arial"/>
              </w:rPr>
              <w:t xml:space="preserve"> and attraction. All staff </w:t>
            </w:r>
            <w:proofErr w:type="gramStart"/>
            <w:r w:rsidRPr="00153049">
              <w:rPr>
                <w:rFonts w:eastAsia="Arial"/>
              </w:rPr>
              <w:t>have the opportunity to</w:t>
            </w:r>
            <w:proofErr w:type="gramEnd"/>
            <w:r w:rsidRPr="00153049">
              <w:rPr>
                <w:rFonts w:eastAsia="Arial"/>
              </w:rPr>
              <w:t xml:space="preserve"> explore greater flexibility, with a focus on preference rather than reason, to create an inclusive and personalised approach. Procedures have been fundamentally changed, and staff support has been delivered. Personalised People Management (PPM) further embeds flexible working by empowering Managers through a range of resources and support to be understanding of staff by actively listening, involving staff in the resolution of any issues they may have, being timely in their response to staff and always considerate of their health and wellbeing and psychological welfare. Furthermore, the Retirement Policy provides staff with </w:t>
            </w:r>
            <w:proofErr w:type="gramStart"/>
            <w:r w:rsidRPr="00153049">
              <w:rPr>
                <w:rFonts w:eastAsia="Arial"/>
              </w:rPr>
              <w:t>a number of</w:t>
            </w:r>
            <w:proofErr w:type="gramEnd"/>
            <w:r w:rsidRPr="00153049">
              <w:rPr>
                <w:rFonts w:eastAsia="Arial"/>
              </w:rPr>
              <w:t xml:space="preserve"> positive flexible </w:t>
            </w:r>
            <w:r w:rsidRPr="00153049">
              <w:rPr>
                <w:rFonts w:eastAsia="Arial"/>
              </w:rPr>
              <w:lastRenderedPageBreak/>
              <w:t>working options including 'step down' and ‘wind down'. This is in addition to the option ‘retire and return’ and the Supporting Attendance Policy refers to flexible working as an option to manage absence as effectively as possible from the staff and service perspective, reducing as far as reasonably possible the negative impact on all protected groups and staff with caring responsibilities. PPM is in turn placed at the core of this policy.</w:t>
            </w:r>
          </w:p>
          <w:p w14:paraId="1DD59152" w14:textId="77777777" w:rsidR="00084799" w:rsidRPr="00153049" w:rsidRDefault="00084799" w:rsidP="004F037E">
            <w:pPr>
              <w:rPr>
                <w:rFonts w:eastAsia="Arial"/>
              </w:rPr>
            </w:pPr>
          </w:p>
          <w:p w14:paraId="6EAD5BC7" w14:textId="15D3BBA3" w:rsidR="00084799" w:rsidRPr="00153049" w:rsidRDefault="00084799" w:rsidP="004F037E">
            <w:pPr>
              <w:rPr>
                <w:bCs/>
              </w:rPr>
            </w:pPr>
            <w:r w:rsidRPr="00153049">
              <w:rPr>
                <w:bCs/>
              </w:rPr>
              <w:t xml:space="preserve">To provide further support to both staff and their </w:t>
            </w:r>
            <w:proofErr w:type="gramStart"/>
            <w:r w:rsidRPr="00153049">
              <w:rPr>
                <w:bCs/>
              </w:rPr>
              <w:t>Managers</w:t>
            </w:r>
            <w:proofErr w:type="gramEnd"/>
            <w:r w:rsidRPr="00153049">
              <w:rPr>
                <w:bCs/>
              </w:rPr>
              <w:t>, a disability passport and reasonable adjustments guidance has been produced to ensure barriers and obstacles in the workplace for disabled staff are shared and removed or mitigated as far as reasonably possible. It is known through qualitative and quantitative data that the Trust needs to improve on the meeting of reasonable adjustments in the workplace.</w:t>
            </w:r>
          </w:p>
        </w:tc>
        <w:tc>
          <w:tcPr>
            <w:tcW w:w="1363" w:type="dxa"/>
          </w:tcPr>
          <w:p w14:paraId="5032B55F" w14:textId="77777777" w:rsidR="00F74187" w:rsidRDefault="004F037E" w:rsidP="001D2C8A">
            <w:pPr>
              <w:jc w:val="center"/>
              <w:rPr>
                <w:b/>
              </w:rPr>
            </w:pPr>
            <w:r w:rsidRPr="00153049">
              <w:rPr>
                <w:b/>
              </w:rPr>
              <w:lastRenderedPageBreak/>
              <w:t>2</w:t>
            </w:r>
          </w:p>
          <w:p w14:paraId="0BA6E505" w14:textId="1758CEF8" w:rsidR="00532B2D" w:rsidRPr="00153049" w:rsidRDefault="00532B2D" w:rsidP="001D2C8A">
            <w:pPr>
              <w:jc w:val="center"/>
              <w:rPr>
                <w:b/>
              </w:rPr>
            </w:pPr>
            <w:r w:rsidRPr="00532B2D">
              <w:rPr>
                <w:b/>
                <w:color w:val="00B050"/>
              </w:rPr>
              <w:t>Achieving</w:t>
            </w:r>
            <w:r>
              <w:rPr>
                <w:b/>
              </w:rPr>
              <w:t xml:space="preserve"> </w:t>
            </w:r>
          </w:p>
        </w:tc>
        <w:tc>
          <w:tcPr>
            <w:tcW w:w="1903" w:type="dxa"/>
          </w:tcPr>
          <w:p w14:paraId="6429D06A" w14:textId="77777777" w:rsidR="00F74187" w:rsidRPr="00153049" w:rsidRDefault="00394CF4" w:rsidP="001D2C8A">
            <w:pPr>
              <w:jc w:val="center"/>
              <w:rPr>
                <w:b/>
              </w:rPr>
            </w:pPr>
            <w:r w:rsidRPr="00153049">
              <w:rPr>
                <w:b/>
              </w:rPr>
              <w:t>Head of HR – Health &amp; Wellbeing</w:t>
            </w:r>
          </w:p>
          <w:p w14:paraId="6DFEAB2C" w14:textId="77777777" w:rsidR="004F037E" w:rsidRPr="00153049" w:rsidRDefault="004F037E" w:rsidP="001D2C8A">
            <w:pPr>
              <w:jc w:val="center"/>
              <w:rPr>
                <w:b/>
              </w:rPr>
            </w:pPr>
          </w:p>
          <w:p w14:paraId="4C4C6858" w14:textId="77777777" w:rsidR="004F037E" w:rsidRPr="00153049" w:rsidRDefault="004F037E" w:rsidP="001D2C8A">
            <w:pPr>
              <w:jc w:val="center"/>
              <w:rPr>
                <w:b/>
              </w:rPr>
            </w:pPr>
          </w:p>
          <w:p w14:paraId="3AD39754" w14:textId="77777777" w:rsidR="004F037E" w:rsidRPr="00153049" w:rsidRDefault="004F037E" w:rsidP="001D2C8A">
            <w:pPr>
              <w:jc w:val="center"/>
              <w:rPr>
                <w:b/>
              </w:rPr>
            </w:pPr>
          </w:p>
          <w:p w14:paraId="47197050" w14:textId="77777777" w:rsidR="004F037E" w:rsidRPr="00153049" w:rsidRDefault="004F037E" w:rsidP="001D2C8A">
            <w:pPr>
              <w:jc w:val="center"/>
              <w:rPr>
                <w:b/>
              </w:rPr>
            </w:pPr>
          </w:p>
          <w:p w14:paraId="4C128F91" w14:textId="77777777" w:rsidR="004F037E" w:rsidRPr="00153049" w:rsidRDefault="004F037E" w:rsidP="001D2C8A">
            <w:pPr>
              <w:jc w:val="center"/>
              <w:rPr>
                <w:b/>
              </w:rPr>
            </w:pPr>
          </w:p>
          <w:p w14:paraId="3757C9EE" w14:textId="77777777" w:rsidR="004F037E" w:rsidRPr="00153049" w:rsidRDefault="004F037E" w:rsidP="001D2C8A">
            <w:pPr>
              <w:jc w:val="center"/>
              <w:rPr>
                <w:b/>
              </w:rPr>
            </w:pPr>
          </w:p>
          <w:p w14:paraId="662708BC" w14:textId="77777777" w:rsidR="004F037E" w:rsidRPr="00153049" w:rsidRDefault="004F037E" w:rsidP="001D2C8A">
            <w:pPr>
              <w:jc w:val="center"/>
              <w:rPr>
                <w:b/>
              </w:rPr>
            </w:pPr>
          </w:p>
          <w:p w14:paraId="0F13F340" w14:textId="77777777" w:rsidR="004F037E" w:rsidRPr="00153049" w:rsidRDefault="004F037E" w:rsidP="001D2C8A">
            <w:pPr>
              <w:jc w:val="center"/>
              <w:rPr>
                <w:b/>
              </w:rPr>
            </w:pPr>
          </w:p>
          <w:p w14:paraId="1FD2AF4C" w14:textId="77777777" w:rsidR="004F037E" w:rsidRPr="00153049" w:rsidRDefault="004F037E" w:rsidP="001D2C8A">
            <w:pPr>
              <w:jc w:val="center"/>
              <w:rPr>
                <w:b/>
              </w:rPr>
            </w:pPr>
          </w:p>
          <w:p w14:paraId="2381C9FF" w14:textId="77777777" w:rsidR="004F037E" w:rsidRPr="00153049" w:rsidRDefault="004F037E" w:rsidP="001D2C8A">
            <w:pPr>
              <w:jc w:val="center"/>
              <w:rPr>
                <w:b/>
              </w:rPr>
            </w:pPr>
          </w:p>
          <w:p w14:paraId="762C0E63" w14:textId="1330F5C3" w:rsidR="00084799" w:rsidRPr="00153049" w:rsidRDefault="00084799" w:rsidP="001D2C8A">
            <w:pPr>
              <w:jc w:val="center"/>
              <w:rPr>
                <w:b/>
              </w:rPr>
            </w:pPr>
          </w:p>
          <w:p w14:paraId="5850EED0" w14:textId="33E68B83" w:rsidR="00084799" w:rsidRPr="00153049" w:rsidRDefault="00084799" w:rsidP="001D2C8A">
            <w:pPr>
              <w:jc w:val="center"/>
              <w:rPr>
                <w:b/>
              </w:rPr>
            </w:pPr>
          </w:p>
          <w:p w14:paraId="2E82F449" w14:textId="70E26A3C" w:rsidR="00084799" w:rsidRPr="00153049" w:rsidRDefault="00084799" w:rsidP="001D2C8A">
            <w:pPr>
              <w:jc w:val="center"/>
              <w:rPr>
                <w:b/>
              </w:rPr>
            </w:pPr>
          </w:p>
          <w:p w14:paraId="39127835" w14:textId="149A5F33" w:rsidR="00084799" w:rsidRPr="00153049" w:rsidRDefault="00084799" w:rsidP="001D2C8A">
            <w:pPr>
              <w:jc w:val="center"/>
              <w:rPr>
                <w:b/>
              </w:rPr>
            </w:pPr>
          </w:p>
          <w:p w14:paraId="0142E81F" w14:textId="7ECF9066" w:rsidR="00084799" w:rsidRPr="00153049" w:rsidRDefault="00084799" w:rsidP="001D2C8A">
            <w:pPr>
              <w:jc w:val="center"/>
              <w:rPr>
                <w:b/>
              </w:rPr>
            </w:pPr>
          </w:p>
          <w:p w14:paraId="7BE3A086" w14:textId="669229A4" w:rsidR="00084799" w:rsidRPr="00153049" w:rsidRDefault="00084799" w:rsidP="001D2C8A">
            <w:pPr>
              <w:jc w:val="center"/>
              <w:rPr>
                <w:b/>
              </w:rPr>
            </w:pPr>
          </w:p>
          <w:p w14:paraId="10546740" w14:textId="1109C098" w:rsidR="00084799" w:rsidRPr="00153049" w:rsidRDefault="00084799" w:rsidP="001D2C8A">
            <w:pPr>
              <w:jc w:val="center"/>
              <w:rPr>
                <w:b/>
              </w:rPr>
            </w:pPr>
          </w:p>
          <w:p w14:paraId="3E2E3F7E" w14:textId="0F468810" w:rsidR="00084799" w:rsidRPr="00153049" w:rsidRDefault="00084799" w:rsidP="001D2C8A">
            <w:pPr>
              <w:jc w:val="center"/>
              <w:rPr>
                <w:b/>
              </w:rPr>
            </w:pPr>
          </w:p>
          <w:p w14:paraId="1FDE85A3" w14:textId="36B97E0E" w:rsidR="00084799" w:rsidRPr="00153049" w:rsidRDefault="00084799" w:rsidP="001D2C8A">
            <w:pPr>
              <w:jc w:val="center"/>
              <w:rPr>
                <w:b/>
              </w:rPr>
            </w:pPr>
          </w:p>
          <w:p w14:paraId="0525AFA3" w14:textId="11CFBDCF" w:rsidR="00084799" w:rsidRPr="00153049" w:rsidRDefault="00084799" w:rsidP="001D2C8A">
            <w:pPr>
              <w:jc w:val="center"/>
              <w:rPr>
                <w:b/>
              </w:rPr>
            </w:pPr>
          </w:p>
          <w:p w14:paraId="69B16D83" w14:textId="56C32716" w:rsidR="00084799" w:rsidRPr="00153049" w:rsidRDefault="00084799" w:rsidP="001D2C8A">
            <w:pPr>
              <w:jc w:val="center"/>
              <w:rPr>
                <w:b/>
              </w:rPr>
            </w:pPr>
          </w:p>
          <w:p w14:paraId="17BF516F" w14:textId="21A3CC05" w:rsidR="00084799" w:rsidRPr="00153049" w:rsidRDefault="00084799" w:rsidP="001D2C8A">
            <w:pPr>
              <w:jc w:val="center"/>
              <w:rPr>
                <w:b/>
              </w:rPr>
            </w:pPr>
          </w:p>
          <w:p w14:paraId="23D6943D" w14:textId="7A01B961" w:rsidR="00084799" w:rsidRPr="00153049" w:rsidRDefault="00084799" w:rsidP="001D2C8A">
            <w:pPr>
              <w:jc w:val="center"/>
              <w:rPr>
                <w:b/>
              </w:rPr>
            </w:pPr>
          </w:p>
          <w:p w14:paraId="2F31BA8C" w14:textId="21CE4D86" w:rsidR="00084799" w:rsidRPr="00153049" w:rsidRDefault="00084799" w:rsidP="001D2C8A">
            <w:pPr>
              <w:jc w:val="center"/>
              <w:rPr>
                <w:b/>
              </w:rPr>
            </w:pPr>
          </w:p>
          <w:p w14:paraId="0280DE28" w14:textId="24D75B28" w:rsidR="00084799" w:rsidRPr="00153049" w:rsidRDefault="00084799" w:rsidP="001D2C8A">
            <w:pPr>
              <w:jc w:val="center"/>
              <w:rPr>
                <w:b/>
              </w:rPr>
            </w:pPr>
          </w:p>
          <w:p w14:paraId="74D0D0F7" w14:textId="09ED96DC" w:rsidR="00084799" w:rsidRPr="00153049" w:rsidRDefault="00084799" w:rsidP="001D2C8A">
            <w:pPr>
              <w:jc w:val="center"/>
              <w:rPr>
                <w:b/>
              </w:rPr>
            </w:pPr>
          </w:p>
          <w:p w14:paraId="7AC12499" w14:textId="5EA60800" w:rsidR="00084799" w:rsidRPr="00153049" w:rsidRDefault="00084799" w:rsidP="001D2C8A">
            <w:pPr>
              <w:jc w:val="center"/>
              <w:rPr>
                <w:b/>
              </w:rPr>
            </w:pPr>
          </w:p>
          <w:p w14:paraId="228DE31C" w14:textId="384E6D5B" w:rsidR="00084799" w:rsidRPr="00153049" w:rsidRDefault="00084799" w:rsidP="001D2C8A">
            <w:pPr>
              <w:jc w:val="center"/>
              <w:rPr>
                <w:b/>
              </w:rPr>
            </w:pPr>
          </w:p>
          <w:p w14:paraId="33C62123" w14:textId="52F216D4" w:rsidR="00084799" w:rsidRPr="00153049" w:rsidRDefault="00084799" w:rsidP="001D2C8A">
            <w:pPr>
              <w:jc w:val="center"/>
              <w:rPr>
                <w:b/>
              </w:rPr>
            </w:pPr>
          </w:p>
          <w:p w14:paraId="39D9EAD2" w14:textId="781256E6" w:rsidR="00084799" w:rsidRPr="00153049" w:rsidRDefault="00084799" w:rsidP="001D2C8A">
            <w:pPr>
              <w:jc w:val="center"/>
              <w:rPr>
                <w:b/>
              </w:rPr>
            </w:pPr>
          </w:p>
          <w:p w14:paraId="729CA2DF" w14:textId="77777777" w:rsidR="00084799" w:rsidRPr="00153049" w:rsidRDefault="00084799" w:rsidP="001D2C8A">
            <w:pPr>
              <w:jc w:val="center"/>
              <w:rPr>
                <w:b/>
              </w:rPr>
            </w:pPr>
          </w:p>
          <w:p w14:paraId="1CACB0E2" w14:textId="452EFED9" w:rsidR="004F037E" w:rsidRPr="00153049" w:rsidRDefault="004F037E" w:rsidP="001D2C8A">
            <w:pPr>
              <w:jc w:val="center"/>
              <w:rPr>
                <w:b/>
              </w:rPr>
            </w:pPr>
          </w:p>
        </w:tc>
      </w:tr>
      <w:bookmarkEnd w:id="1"/>
    </w:tbl>
    <w:p w14:paraId="4B1187C1" w14:textId="680C08C8" w:rsidR="004446CB" w:rsidRPr="00153049" w:rsidRDefault="004446CB" w:rsidP="001D2C8A">
      <w:pPr>
        <w:jc w:val="center"/>
        <w:rPr>
          <w:b/>
        </w:rPr>
      </w:pPr>
    </w:p>
    <w:p w14:paraId="30B9BD32" w14:textId="609BE727" w:rsidR="00105646" w:rsidRDefault="00105646" w:rsidP="001D2C8A">
      <w:pPr>
        <w:jc w:val="center"/>
        <w:rPr>
          <w:b/>
          <w:sz w:val="28"/>
          <w:szCs w:val="28"/>
        </w:rPr>
      </w:pPr>
    </w:p>
    <w:tbl>
      <w:tblPr>
        <w:tblStyle w:val="TableGrid"/>
        <w:tblW w:w="15168" w:type="dxa"/>
        <w:tblInd w:w="-431" w:type="dxa"/>
        <w:tblLayout w:type="fixed"/>
        <w:tblLook w:val="04A0" w:firstRow="1" w:lastRow="0" w:firstColumn="1" w:lastColumn="0" w:noHBand="0" w:noVBand="1"/>
      </w:tblPr>
      <w:tblGrid>
        <w:gridCol w:w="1970"/>
        <w:gridCol w:w="3218"/>
        <w:gridCol w:w="6573"/>
        <w:gridCol w:w="1423"/>
        <w:gridCol w:w="1984"/>
      </w:tblGrid>
      <w:tr w:rsidR="00105646" w14:paraId="29E344DC" w14:textId="77777777" w:rsidTr="00532B2D">
        <w:trPr>
          <w:tblHeader/>
        </w:trPr>
        <w:tc>
          <w:tcPr>
            <w:tcW w:w="1970" w:type="dxa"/>
            <w:shd w:val="clear" w:color="auto" w:fill="D9E2F3" w:themeFill="accent1" w:themeFillTint="33"/>
          </w:tcPr>
          <w:p w14:paraId="0CFE73F3" w14:textId="77777777" w:rsidR="00105646" w:rsidRDefault="00105646" w:rsidP="00D4735B">
            <w:pPr>
              <w:jc w:val="center"/>
              <w:rPr>
                <w:b/>
                <w:sz w:val="28"/>
                <w:szCs w:val="28"/>
              </w:rPr>
            </w:pPr>
            <w:r>
              <w:rPr>
                <w:b/>
                <w:sz w:val="28"/>
                <w:szCs w:val="28"/>
              </w:rPr>
              <w:t>Domain 2</w:t>
            </w:r>
          </w:p>
        </w:tc>
        <w:tc>
          <w:tcPr>
            <w:tcW w:w="3218" w:type="dxa"/>
            <w:shd w:val="clear" w:color="auto" w:fill="D9E2F3" w:themeFill="accent1" w:themeFillTint="33"/>
          </w:tcPr>
          <w:p w14:paraId="18B2D8B1" w14:textId="77777777" w:rsidR="00105646" w:rsidRDefault="00105646" w:rsidP="00D4735B">
            <w:pPr>
              <w:jc w:val="center"/>
              <w:rPr>
                <w:b/>
                <w:sz w:val="28"/>
                <w:szCs w:val="28"/>
              </w:rPr>
            </w:pPr>
            <w:r>
              <w:rPr>
                <w:b/>
                <w:sz w:val="28"/>
                <w:szCs w:val="28"/>
              </w:rPr>
              <w:t>Outcome</w:t>
            </w:r>
          </w:p>
        </w:tc>
        <w:tc>
          <w:tcPr>
            <w:tcW w:w="6573" w:type="dxa"/>
            <w:shd w:val="clear" w:color="auto" w:fill="D9E2F3" w:themeFill="accent1" w:themeFillTint="33"/>
          </w:tcPr>
          <w:p w14:paraId="202FC69C" w14:textId="77777777" w:rsidR="00105646" w:rsidRDefault="00105646" w:rsidP="00D4735B">
            <w:pPr>
              <w:jc w:val="center"/>
              <w:rPr>
                <w:b/>
                <w:sz w:val="28"/>
                <w:szCs w:val="28"/>
              </w:rPr>
            </w:pPr>
            <w:r>
              <w:rPr>
                <w:b/>
                <w:sz w:val="28"/>
                <w:szCs w:val="28"/>
              </w:rPr>
              <w:t>Evidence</w:t>
            </w:r>
          </w:p>
        </w:tc>
        <w:tc>
          <w:tcPr>
            <w:tcW w:w="1423" w:type="dxa"/>
            <w:shd w:val="clear" w:color="auto" w:fill="D9E2F3" w:themeFill="accent1" w:themeFillTint="33"/>
          </w:tcPr>
          <w:p w14:paraId="0F34910A" w14:textId="77777777" w:rsidR="00F9469E" w:rsidRDefault="00F9469E" w:rsidP="00D4735B">
            <w:pPr>
              <w:jc w:val="center"/>
              <w:rPr>
                <w:b/>
                <w:sz w:val="28"/>
                <w:szCs w:val="28"/>
              </w:rPr>
            </w:pPr>
            <w:r>
              <w:rPr>
                <w:b/>
                <w:sz w:val="28"/>
                <w:szCs w:val="28"/>
              </w:rPr>
              <w:t>Score/</w:t>
            </w:r>
          </w:p>
          <w:p w14:paraId="63E30D03" w14:textId="21E2A730" w:rsidR="00105646" w:rsidRDefault="00105646" w:rsidP="00D4735B">
            <w:pPr>
              <w:jc w:val="center"/>
              <w:rPr>
                <w:b/>
                <w:sz w:val="28"/>
                <w:szCs w:val="28"/>
              </w:rPr>
            </w:pPr>
            <w:r>
              <w:rPr>
                <w:b/>
                <w:sz w:val="28"/>
                <w:szCs w:val="28"/>
              </w:rPr>
              <w:t>Rating</w:t>
            </w:r>
          </w:p>
        </w:tc>
        <w:tc>
          <w:tcPr>
            <w:tcW w:w="1984" w:type="dxa"/>
            <w:shd w:val="clear" w:color="auto" w:fill="D9E2F3" w:themeFill="accent1" w:themeFillTint="33"/>
          </w:tcPr>
          <w:p w14:paraId="18770ABA" w14:textId="6E5D1FB2" w:rsidR="00105646" w:rsidRDefault="00105646" w:rsidP="00076F35">
            <w:pPr>
              <w:jc w:val="center"/>
              <w:rPr>
                <w:b/>
                <w:sz w:val="28"/>
                <w:szCs w:val="28"/>
              </w:rPr>
            </w:pPr>
            <w:r>
              <w:rPr>
                <w:b/>
                <w:sz w:val="28"/>
                <w:szCs w:val="28"/>
              </w:rPr>
              <w:t>Owner/Lead</w:t>
            </w:r>
          </w:p>
        </w:tc>
      </w:tr>
      <w:tr w:rsidR="00105646" w:rsidRPr="00153049" w14:paraId="22A37BA7" w14:textId="77777777" w:rsidTr="00532B2D">
        <w:tc>
          <w:tcPr>
            <w:tcW w:w="1970" w:type="dxa"/>
          </w:tcPr>
          <w:p w14:paraId="0ED563BF" w14:textId="77777777" w:rsidR="00105646" w:rsidRPr="00153049" w:rsidRDefault="00105646" w:rsidP="00D4735B">
            <w:pPr>
              <w:jc w:val="center"/>
              <w:rPr>
                <w:b/>
              </w:rPr>
            </w:pPr>
            <w:r w:rsidRPr="00153049">
              <w:rPr>
                <w:b/>
              </w:rPr>
              <w:t>Workforce health and well-being</w:t>
            </w:r>
          </w:p>
        </w:tc>
        <w:tc>
          <w:tcPr>
            <w:tcW w:w="3218" w:type="dxa"/>
          </w:tcPr>
          <w:p w14:paraId="19BBBD01" w14:textId="77777777" w:rsidR="00105646" w:rsidRPr="00153049" w:rsidRDefault="00105646" w:rsidP="00105646">
            <w:pPr>
              <w:jc w:val="center"/>
              <w:rPr>
                <w:b/>
              </w:rPr>
            </w:pPr>
            <w:r w:rsidRPr="00153049">
              <w:rPr>
                <w:b/>
              </w:rPr>
              <w:t>2B: When at work, staff are free from abuse, harassment, bullying and physical violence from any source</w:t>
            </w:r>
          </w:p>
          <w:p w14:paraId="29D8BF9F" w14:textId="77777777" w:rsidR="00105646" w:rsidRPr="00153049" w:rsidRDefault="00105646" w:rsidP="00D4735B">
            <w:pPr>
              <w:jc w:val="center"/>
              <w:rPr>
                <w:b/>
              </w:rPr>
            </w:pPr>
          </w:p>
          <w:p w14:paraId="7B3BF459" w14:textId="77777777" w:rsidR="00105646" w:rsidRPr="00153049" w:rsidRDefault="00105646" w:rsidP="00D4735B">
            <w:pPr>
              <w:jc w:val="center"/>
              <w:rPr>
                <w:b/>
              </w:rPr>
            </w:pPr>
          </w:p>
          <w:p w14:paraId="461A065F" w14:textId="77777777" w:rsidR="00105646" w:rsidRPr="00153049" w:rsidRDefault="00105646" w:rsidP="00D4735B">
            <w:pPr>
              <w:jc w:val="center"/>
              <w:rPr>
                <w:b/>
              </w:rPr>
            </w:pPr>
          </w:p>
          <w:p w14:paraId="6F735715" w14:textId="77777777" w:rsidR="00105646" w:rsidRPr="00153049" w:rsidRDefault="00105646" w:rsidP="00D4735B">
            <w:pPr>
              <w:jc w:val="center"/>
              <w:rPr>
                <w:b/>
              </w:rPr>
            </w:pPr>
          </w:p>
          <w:p w14:paraId="36E0A209" w14:textId="77777777" w:rsidR="00105646" w:rsidRPr="00153049" w:rsidRDefault="00105646" w:rsidP="00D4735B">
            <w:pPr>
              <w:jc w:val="center"/>
              <w:rPr>
                <w:b/>
              </w:rPr>
            </w:pPr>
          </w:p>
          <w:p w14:paraId="62B51234" w14:textId="77777777" w:rsidR="00105646" w:rsidRPr="00153049" w:rsidRDefault="00105646" w:rsidP="00D4735B">
            <w:pPr>
              <w:jc w:val="center"/>
              <w:rPr>
                <w:b/>
              </w:rPr>
            </w:pPr>
          </w:p>
        </w:tc>
        <w:tc>
          <w:tcPr>
            <w:tcW w:w="6573" w:type="dxa"/>
          </w:tcPr>
          <w:p w14:paraId="4B43286A" w14:textId="5AA63A59" w:rsidR="000A0FDC" w:rsidRPr="00153049" w:rsidRDefault="000A0FDC" w:rsidP="000A0FDC">
            <w:pPr>
              <w:rPr>
                <w:rFonts w:eastAsia="Arial"/>
              </w:rPr>
            </w:pPr>
            <w:r w:rsidRPr="00153049">
              <w:rPr>
                <w:rFonts w:eastAsia="Arial"/>
              </w:rPr>
              <w:lastRenderedPageBreak/>
              <w:t xml:space="preserve">Inclusive Conversations (ICs) </w:t>
            </w:r>
            <w:r w:rsidR="00153049">
              <w:rPr>
                <w:rFonts w:eastAsia="Arial"/>
              </w:rPr>
              <w:t xml:space="preserve">have been </w:t>
            </w:r>
            <w:r w:rsidRPr="00153049">
              <w:rPr>
                <w:rFonts w:eastAsia="Arial"/>
              </w:rPr>
              <w:t xml:space="preserve">developed as part of the three-pronged approach to </w:t>
            </w:r>
            <w:r w:rsidR="00153049">
              <w:rPr>
                <w:rFonts w:eastAsia="Arial"/>
              </w:rPr>
              <w:t xml:space="preserve">the Trust </w:t>
            </w:r>
            <w:r w:rsidRPr="00153049">
              <w:rPr>
                <w:rFonts w:eastAsia="Arial"/>
              </w:rPr>
              <w:t xml:space="preserve">achieving its Free </w:t>
            </w:r>
            <w:proofErr w:type="gramStart"/>
            <w:r w:rsidRPr="00153049">
              <w:rPr>
                <w:rFonts w:eastAsia="Arial"/>
              </w:rPr>
              <w:t>From</w:t>
            </w:r>
            <w:proofErr w:type="gramEnd"/>
            <w:r w:rsidRPr="00153049">
              <w:rPr>
                <w:rFonts w:eastAsia="Arial"/>
              </w:rPr>
              <w:t xml:space="preserve"> Discrimination People Priority, specifically to engender an inclusive culture. All CSUs are </w:t>
            </w:r>
            <w:r w:rsidR="00153049">
              <w:rPr>
                <w:rFonts w:eastAsia="Arial"/>
              </w:rPr>
              <w:t xml:space="preserve">being supported to </w:t>
            </w:r>
            <w:r w:rsidRPr="00153049">
              <w:rPr>
                <w:rFonts w:eastAsia="Arial"/>
              </w:rPr>
              <w:t xml:space="preserve">set in motion every single member of staff being part of a meaningful, psychologically </w:t>
            </w:r>
            <w:proofErr w:type="gramStart"/>
            <w:r w:rsidRPr="00153049">
              <w:rPr>
                <w:rFonts w:eastAsia="Arial"/>
              </w:rPr>
              <w:t>safe</w:t>
            </w:r>
            <w:proofErr w:type="gramEnd"/>
            <w:r w:rsidRPr="00153049">
              <w:rPr>
                <w:rFonts w:eastAsia="Arial"/>
              </w:rPr>
              <w:t xml:space="preserve"> and substantive conversation on inclusion within their own teams. Dedicated support from </w:t>
            </w:r>
            <w:r w:rsidR="00153049">
              <w:rPr>
                <w:rFonts w:eastAsia="Arial"/>
              </w:rPr>
              <w:t xml:space="preserve">OD&amp;C </w:t>
            </w:r>
            <w:r w:rsidRPr="00153049">
              <w:rPr>
                <w:rFonts w:eastAsia="Arial"/>
              </w:rPr>
              <w:t xml:space="preserve">is provided to enable and empower CSUs to determine </w:t>
            </w:r>
            <w:r w:rsidR="00153049">
              <w:rPr>
                <w:rFonts w:eastAsia="Arial"/>
              </w:rPr>
              <w:t xml:space="preserve">and implement </w:t>
            </w:r>
            <w:r w:rsidRPr="00153049">
              <w:rPr>
                <w:rFonts w:eastAsia="Arial"/>
              </w:rPr>
              <w:t xml:space="preserve">the best </w:t>
            </w:r>
            <w:r w:rsidRPr="00153049">
              <w:rPr>
                <w:rFonts w:eastAsia="Arial"/>
              </w:rPr>
              <w:lastRenderedPageBreak/>
              <w:t>approach. The foundations to the ICs are recognition and understanding that they are for the benefit of every single member of staff with no exception and we all as human beings have the very real potential of treating others less favourably unintentionally.</w:t>
            </w:r>
          </w:p>
          <w:p w14:paraId="6C0196CB" w14:textId="77777777" w:rsidR="00153049" w:rsidRDefault="00153049" w:rsidP="000A0FDC">
            <w:pPr>
              <w:rPr>
                <w:rFonts w:eastAsia="Arial"/>
              </w:rPr>
            </w:pPr>
          </w:p>
          <w:p w14:paraId="33936D2A" w14:textId="36307718" w:rsidR="000A0FDC" w:rsidRPr="00153049" w:rsidRDefault="000A0FDC" w:rsidP="000A0FDC">
            <w:pPr>
              <w:rPr>
                <w:rFonts w:eastAsia="Arial"/>
              </w:rPr>
            </w:pPr>
            <w:r w:rsidRPr="00153049">
              <w:rPr>
                <w:rFonts w:eastAsia="Arial"/>
              </w:rPr>
              <w:t xml:space="preserve">Allyship Programme ‘IAPPLAUD’ bespoke to </w:t>
            </w:r>
            <w:r w:rsidR="00153049">
              <w:rPr>
                <w:rFonts w:eastAsia="Arial"/>
              </w:rPr>
              <w:t>the Trust,</w:t>
            </w:r>
            <w:r w:rsidRPr="00153049">
              <w:rPr>
                <w:rFonts w:eastAsia="Arial"/>
              </w:rPr>
              <w:t xml:space="preserve"> developed</w:t>
            </w:r>
            <w:r w:rsidR="00153049">
              <w:rPr>
                <w:rFonts w:eastAsia="Arial"/>
              </w:rPr>
              <w:t xml:space="preserve">, recently </w:t>
            </w:r>
            <w:proofErr w:type="gramStart"/>
            <w:r w:rsidR="00153049">
              <w:rPr>
                <w:rFonts w:eastAsia="Arial"/>
              </w:rPr>
              <w:t>reviewed</w:t>
            </w:r>
            <w:proofErr w:type="gramEnd"/>
            <w:r w:rsidR="00153049">
              <w:rPr>
                <w:rFonts w:eastAsia="Arial"/>
              </w:rPr>
              <w:t xml:space="preserve"> and diversified beyond race. Relaunched and delivered with the support of all staff networ</w:t>
            </w:r>
            <w:r w:rsidR="00D6315E">
              <w:rPr>
                <w:rFonts w:eastAsia="Arial"/>
              </w:rPr>
              <w:t xml:space="preserve">ks </w:t>
            </w:r>
            <w:r w:rsidRPr="00153049">
              <w:rPr>
                <w:rFonts w:eastAsia="Arial"/>
              </w:rPr>
              <w:t xml:space="preserve">with the purpose of empowering and supporting bystanders to </w:t>
            </w:r>
            <w:r w:rsidR="00D6315E">
              <w:rPr>
                <w:rFonts w:eastAsia="Arial"/>
              </w:rPr>
              <w:t>address any form of</w:t>
            </w:r>
            <w:r w:rsidRPr="00153049">
              <w:rPr>
                <w:rFonts w:eastAsia="Arial"/>
              </w:rPr>
              <w:t xml:space="preserve"> abuse, harassment, bullying and violence, shifting it from being the responsibility of the victim and reducing the risk of it not being addressed. </w:t>
            </w:r>
          </w:p>
          <w:p w14:paraId="0E654E07" w14:textId="5F6F1318" w:rsidR="000A0FDC" w:rsidRPr="00153049" w:rsidRDefault="000A0FDC" w:rsidP="000A0FDC">
            <w:pPr>
              <w:rPr>
                <w:rFonts w:eastAsia="Arial"/>
              </w:rPr>
            </w:pPr>
          </w:p>
          <w:p w14:paraId="433C7488" w14:textId="6DB7C4EC" w:rsidR="000A0FDC" w:rsidRPr="00153049" w:rsidRDefault="000A0FDC" w:rsidP="000A0FDC">
            <w:pPr>
              <w:rPr>
                <w:rFonts w:eastAsia="Arial"/>
              </w:rPr>
            </w:pPr>
            <w:r w:rsidRPr="00153049">
              <w:rPr>
                <w:rFonts w:eastAsia="Arial"/>
              </w:rPr>
              <w:t xml:space="preserve">Equality, </w:t>
            </w:r>
            <w:proofErr w:type="gramStart"/>
            <w:r w:rsidRPr="00153049">
              <w:rPr>
                <w:rFonts w:eastAsia="Arial"/>
              </w:rPr>
              <w:t>Diversity</w:t>
            </w:r>
            <w:proofErr w:type="gramEnd"/>
            <w:r w:rsidRPr="00153049">
              <w:rPr>
                <w:rFonts w:eastAsia="Arial"/>
              </w:rPr>
              <w:t xml:space="preserve"> and Inclusion (EDI) Champions and BME Champions established, supported and continuously recruited across CSUs to provide immediate support and direction on issues and queries related to EDI</w:t>
            </w:r>
          </w:p>
          <w:p w14:paraId="5E0B59CA" w14:textId="74807C63" w:rsidR="000A0FDC" w:rsidRPr="00153049" w:rsidRDefault="000A0FDC" w:rsidP="000A0FDC">
            <w:pPr>
              <w:rPr>
                <w:rFonts w:eastAsia="Arial"/>
              </w:rPr>
            </w:pPr>
          </w:p>
          <w:p w14:paraId="6EB7598A" w14:textId="027768CD" w:rsidR="000A0FDC" w:rsidRPr="00153049" w:rsidRDefault="000A0FDC" w:rsidP="000A0FDC">
            <w:pPr>
              <w:rPr>
                <w:rFonts w:eastAsia="Arial"/>
              </w:rPr>
            </w:pPr>
            <w:r w:rsidRPr="00153049">
              <w:rPr>
                <w:rFonts w:eastAsia="Arial"/>
                <w:color w:val="000000"/>
              </w:rPr>
              <w:t>Rate of staff experiencing harassment/discrimination at work measured as part of the NHS Staff Survey across all protected characteristics and professionally analysed with the funding of a bespoke annual report to ensure meaningful targeted work. Work on the NHS WRES, WDES and Rainbow Assessment provide further focus and wider engagement for fit-for-purpose action</w:t>
            </w:r>
          </w:p>
          <w:p w14:paraId="272A338C" w14:textId="190841DA" w:rsidR="000A0FDC" w:rsidRPr="00153049" w:rsidRDefault="000A0FDC" w:rsidP="000A0FDC">
            <w:pPr>
              <w:rPr>
                <w:rFonts w:eastAsia="Arial"/>
              </w:rPr>
            </w:pPr>
          </w:p>
          <w:p w14:paraId="2D3610F1" w14:textId="7D3411F9" w:rsidR="000A0FDC" w:rsidRPr="00153049" w:rsidRDefault="000A0FDC" w:rsidP="000A0FDC">
            <w:pPr>
              <w:rPr>
                <w:rFonts w:eastAsia="Arial"/>
              </w:rPr>
            </w:pPr>
            <w:r w:rsidRPr="00153049">
              <w:rPr>
                <w:rFonts w:eastAsia="Arial"/>
              </w:rPr>
              <w:t xml:space="preserve">Mandatory Equality, Diversity and Inclusion Training clearly sets out the different types of discrimination and what exactly amounts to harassment. Emphasis is furthermore </w:t>
            </w:r>
            <w:r w:rsidRPr="00153049">
              <w:rPr>
                <w:rFonts w:eastAsia="Arial"/>
              </w:rPr>
              <w:lastRenderedPageBreak/>
              <w:t>placed in Corporate Induction for all new starters that we as human beings have the very real potential of treating others less favourably unintentionally</w:t>
            </w:r>
            <w:r w:rsidR="00D6315E">
              <w:rPr>
                <w:rFonts w:eastAsia="Arial"/>
              </w:rPr>
              <w:t xml:space="preserve"> and need to be proactive</w:t>
            </w:r>
            <w:r w:rsidRPr="00153049">
              <w:rPr>
                <w:rFonts w:eastAsia="Arial"/>
              </w:rPr>
              <w:t xml:space="preserve">. The Executive Director of Organisational Development and Human Resources </w:t>
            </w:r>
            <w:r w:rsidR="00D6315E">
              <w:rPr>
                <w:rFonts w:eastAsia="Arial"/>
              </w:rPr>
              <w:t>a</w:t>
            </w:r>
            <w:r w:rsidRPr="00153049">
              <w:rPr>
                <w:rFonts w:eastAsia="Arial"/>
              </w:rPr>
              <w:t xml:space="preserve">ttends every Corporate Induction to share their experience to reinforce the importance and </w:t>
            </w:r>
            <w:r w:rsidR="00D6315E">
              <w:rPr>
                <w:rFonts w:eastAsia="Arial"/>
              </w:rPr>
              <w:t xml:space="preserve">to </w:t>
            </w:r>
            <w:r w:rsidRPr="00153049">
              <w:rPr>
                <w:rFonts w:eastAsia="Arial"/>
              </w:rPr>
              <w:t>empower staff to relate and in turn action.  Additional non-mandatory training across the different protected groups</w:t>
            </w:r>
            <w:r w:rsidR="00D6315E">
              <w:rPr>
                <w:rFonts w:eastAsia="Arial"/>
              </w:rPr>
              <w:t xml:space="preserve">, as well as </w:t>
            </w:r>
            <w:r w:rsidRPr="00153049">
              <w:rPr>
                <w:rFonts w:eastAsia="Arial"/>
              </w:rPr>
              <w:t>Unconscious Bias</w:t>
            </w:r>
            <w:r w:rsidR="00D6315E">
              <w:rPr>
                <w:rFonts w:eastAsia="Arial"/>
              </w:rPr>
              <w:t xml:space="preserve"> and </w:t>
            </w:r>
            <w:r w:rsidRPr="00153049">
              <w:rPr>
                <w:rFonts w:eastAsia="Arial"/>
              </w:rPr>
              <w:t xml:space="preserve">Dignity at Work </w:t>
            </w:r>
            <w:r w:rsidR="00D6315E">
              <w:rPr>
                <w:rFonts w:eastAsia="Arial"/>
              </w:rPr>
              <w:t>enables the empowerment.</w:t>
            </w:r>
          </w:p>
          <w:p w14:paraId="6CD30050" w14:textId="75BFFF23" w:rsidR="000A0FDC" w:rsidRPr="00153049" w:rsidRDefault="000A0FDC" w:rsidP="000A0FDC">
            <w:pPr>
              <w:rPr>
                <w:rFonts w:eastAsia="Arial"/>
              </w:rPr>
            </w:pPr>
          </w:p>
          <w:p w14:paraId="1D71F9E5" w14:textId="29F697A2" w:rsidR="00153049" w:rsidRPr="00153049" w:rsidRDefault="00153049" w:rsidP="00153049">
            <w:pPr>
              <w:tabs>
                <w:tab w:val="left" w:pos="612"/>
              </w:tabs>
              <w:spacing w:after="240"/>
              <w:rPr>
                <w:rFonts w:eastAsia="Arial"/>
              </w:rPr>
            </w:pPr>
            <w:r w:rsidRPr="00153049">
              <w:rPr>
                <w:rFonts w:eastAsia="Arial"/>
              </w:rPr>
              <w:t xml:space="preserve">Positive action programmes developed as part of the three-pronged approach to LTHT achieving its Free </w:t>
            </w:r>
            <w:proofErr w:type="gramStart"/>
            <w:r w:rsidRPr="00153049">
              <w:rPr>
                <w:rFonts w:eastAsia="Arial"/>
              </w:rPr>
              <w:t>From</w:t>
            </w:r>
            <w:proofErr w:type="gramEnd"/>
            <w:r w:rsidRPr="00153049">
              <w:rPr>
                <w:rFonts w:eastAsia="Arial"/>
              </w:rPr>
              <w:t xml:space="preserve"> Discrimination People Priority. This specifically acknowledges the year-on-year negative differential experience </w:t>
            </w:r>
            <w:r w:rsidR="00D6315E">
              <w:rPr>
                <w:rFonts w:eastAsia="Arial"/>
              </w:rPr>
              <w:t xml:space="preserve">in accessing career progression and promotion opportunities </w:t>
            </w:r>
            <w:r w:rsidRPr="00153049">
              <w:rPr>
                <w:rFonts w:eastAsia="Arial"/>
              </w:rPr>
              <w:t>and year-on-year significant under-representation of senior staff. Positive action programmes include:</w:t>
            </w:r>
          </w:p>
          <w:p w14:paraId="388C929E" w14:textId="77777777" w:rsidR="00153049" w:rsidRPr="00153049" w:rsidRDefault="00153049" w:rsidP="00153049">
            <w:pPr>
              <w:tabs>
                <w:tab w:val="left" w:pos="612"/>
              </w:tabs>
              <w:rPr>
                <w:b/>
                <w:color w:val="000000" w:themeColor="text1"/>
              </w:rPr>
            </w:pPr>
            <w:r w:rsidRPr="00153049">
              <w:rPr>
                <w:b/>
                <w:color w:val="000000" w:themeColor="text1"/>
              </w:rPr>
              <w:t xml:space="preserve">Moving Forward </w:t>
            </w:r>
          </w:p>
          <w:p w14:paraId="03E19BBB" w14:textId="77777777" w:rsidR="00153049" w:rsidRPr="00153049" w:rsidRDefault="00153049" w:rsidP="00153049">
            <w:pPr>
              <w:tabs>
                <w:tab w:val="left" w:pos="612"/>
              </w:tabs>
              <w:rPr>
                <w:color w:val="000000" w:themeColor="text1"/>
              </w:rPr>
            </w:pPr>
            <w:r w:rsidRPr="00153049">
              <w:rPr>
                <w:color w:val="000000" w:themeColor="text1"/>
                <w:shd w:val="clear" w:color="auto" w:fill="FFFFFF"/>
              </w:rPr>
              <w:t xml:space="preserve">Annual 6-month personal development programme for BME staff in supervisory roles who </w:t>
            </w:r>
            <w:r w:rsidRPr="00153049">
              <w:rPr>
                <w:color w:val="000000" w:themeColor="text1"/>
              </w:rPr>
              <w:t xml:space="preserve">wish to progress further. </w:t>
            </w:r>
          </w:p>
          <w:p w14:paraId="012010BB" w14:textId="77777777" w:rsidR="00153049" w:rsidRPr="00153049" w:rsidRDefault="00153049" w:rsidP="00153049">
            <w:pPr>
              <w:tabs>
                <w:tab w:val="left" w:pos="612"/>
              </w:tabs>
              <w:rPr>
                <w:color w:val="000000" w:themeColor="text1"/>
              </w:rPr>
            </w:pPr>
          </w:p>
          <w:p w14:paraId="462E8776" w14:textId="77777777" w:rsidR="00153049" w:rsidRPr="00153049" w:rsidRDefault="00153049" w:rsidP="00153049">
            <w:pPr>
              <w:rPr>
                <w:b/>
                <w:color w:val="000000" w:themeColor="text1"/>
              </w:rPr>
            </w:pPr>
            <w:r w:rsidRPr="00153049">
              <w:rPr>
                <w:b/>
                <w:color w:val="000000" w:themeColor="text1"/>
              </w:rPr>
              <w:t xml:space="preserve">Nurture You </w:t>
            </w:r>
          </w:p>
          <w:p w14:paraId="020F962F" w14:textId="77777777" w:rsidR="00153049" w:rsidRPr="00153049" w:rsidRDefault="00153049" w:rsidP="00153049">
            <w:pPr>
              <w:rPr>
                <w:b/>
                <w:color w:val="000000" w:themeColor="text1"/>
              </w:rPr>
            </w:pPr>
            <w:r w:rsidRPr="00153049">
              <w:rPr>
                <w:color w:val="000000" w:themeColor="text1"/>
              </w:rPr>
              <w:t xml:space="preserve">12-month developmental programme for </w:t>
            </w:r>
            <w:r w:rsidRPr="00153049">
              <w:rPr>
                <w:color w:val="000000" w:themeColor="text1"/>
                <w:shd w:val="clear" w:color="auto" w:fill="FFFFFF"/>
              </w:rPr>
              <w:t>internationally educated Band 5/6 registered nurses who are employed at LTHT and received their nursing qualification outside of the UK. </w:t>
            </w:r>
          </w:p>
          <w:p w14:paraId="7F0D2740" w14:textId="77777777" w:rsidR="00B31068" w:rsidRPr="00153049" w:rsidRDefault="00B31068" w:rsidP="00153049">
            <w:pPr>
              <w:rPr>
                <w:color w:val="000000" w:themeColor="text1"/>
              </w:rPr>
            </w:pPr>
          </w:p>
          <w:p w14:paraId="69F29998" w14:textId="77777777" w:rsidR="00153049" w:rsidRPr="00153049" w:rsidRDefault="00153049" w:rsidP="00153049">
            <w:pPr>
              <w:rPr>
                <w:b/>
                <w:color w:val="000000" w:themeColor="text1"/>
              </w:rPr>
            </w:pPr>
            <w:r w:rsidRPr="00153049">
              <w:rPr>
                <w:b/>
                <w:color w:val="000000" w:themeColor="text1"/>
              </w:rPr>
              <w:t xml:space="preserve">Ready Now </w:t>
            </w:r>
          </w:p>
          <w:p w14:paraId="1AFB3D1B" w14:textId="77777777" w:rsidR="00153049" w:rsidRPr="00153049" w:rsidRDefault="00153049" w:rsidP="00153049">
            <w:pPr>
              <w:rPr>
                <w:color w:val="000000" w:themeColor="text1"/>
              </w:rPr>
            </w:pPr>
            <w:r w:rsidRPr="00153049">
              <w:rPr>
                <w:color w:val="000000" w:themeColor="text1"/>
              </w:rPr>
              <w:lastRenderedPageBreak/>
              <w:t xml:space="preserve">Pilot programme to accelerate the career of senior BME staff ready to take the next step into a more senior role. </w:t>
            </w:r>
          </w:p>
          <w:p w14:paraId="3363E2F7" w14:textId="77777777" w:rsidR="00153049" w:rsidRPr="00153049" w:rsidRDefault="00153049" w:rsidP="00153049">
            <w:pPr>
              <w:rPr>
                <w:b/>
                <w:color w:val="000000" w:themeColor="text1"/>
              </w:rPr>
            </w:pPr>
          </w:p>
          <w:p w14:paraId="1A06F360" w14:textId="77777777" w:rsidR="00153049" w:rsidRPr="00153049" w:rsidRDefault="00153049" w:rsidP="00153049">
            <w:pPr>
              <w:rPr>
                <w:b/>
                <w:color w:val="000000" w:themeColor="text1"/>
              </w:rPr>
            </w:pPr>
            <w:r w:rsidRPr="00153049">
              <w:rPr>
                <w:b/>
                <w:color w:val="000000" w:themeColor="text1"/>
              </w:rPr>
              <w:t xml:space="preserve">Reciprocal Mentoring </w:t>
            </w:r>
          </w:p>
          <w:p w14:paraId="368D6F05" w14:textId="399A90B1" w:rsidR="000A0FDC" w:rsidRDefault="00153049" w:rsidP="00153049">
            <w:pPr>
              <w:rPr>
                <w:color w:val="000000" w:themeColor="text1"/>
              </w:rPr>
            </w:pPr>
            <w:r w:rsidRPr="00153049">
              <w:rPr>
                <w:color w:val="000000" w:themeColor="text1"/>
              </w:rPr>
              <w:t>Annual mentoring scheme to a) expand cultural competence and reduce unconscious bias of at least 1</w:t>
            </w:r>
            <w:r w:rsidR="00D6315E">
              <w:rPr>
                <w:color w:val="000000" w:themeColor="text1"/>
              </w:rPr>
              <w:t>5</w:t>
            </w:r>
            <w:r w:rsidRPr="00153049">
              <w:rPr>
                <w:color w:val="000000" w:themeColor="text1"/>
              </w:rPr>
              <w:t xml:space="preserve"> staff at Board and senior management level each cohort and b) expand leadership skills of at least 1</w:t>
            </w:r>
            <w:r w:rsidR="00D6315E">
              <w:rPr>
                <w:color w:val="000000" w:themeColor="text1"/>
              </w:rPr>
              <w:t>5</w:t>
            </w:r>
            <w:r w:rsidRPr="00153049">
              <w:rPr>
                <w:color w:val="000000" w:themeColor="text1"/>
              </w:rPr>
              <w:t xml:space="preserve"> staff each cohort</w:t>
            </w:r>
            <w:r w:rsidR="00D6315E">
              <w:rPr>
                <w:color w:val="000000" w:themeColor="text1"/>
              </w:rPr>
              <w:t xml:space="preserve"> that represent protected groups, including BME, disability and LGBT+</w:t>
            </w:r>
            <w:r w:rsidR="00A0302A">
              <w:rPr>
                <w:color w:val="000000" w:themeColor="text1"/>
              </w:rPr>
              <w:t>.</w:t>
            </w:r>
          </w:p>
          <w:p w14:paraId="79ADA50C" w14:textId="15A1B9E5" w:rsidR="00A0302A" w:rsidRDefault="00A0302A" w:rsidP="00153049">
            <w:pPr>
              <w:rPr>
                <w:color w:val="000000" w:themeColor="text1"/>
              </w:rPr>
            </w:pPr>
          </w:p>
          <w:p w14:paraId="5DC12E09" w14:textId="77777777" w:rsidR="00A0302A" w:rsidRPr="00214208" w:rsidRDefault="00A0302A" w:rsidP="00A0302A">
            <w:pPr>
              <w:rPr>
                <w:b/>
              </w:rPr>
            </w:pPr>
            <w:r w:rsidRPr="00214208">
              <w:rPr>
                <w:b/>
              </w:rPr>
              <w:t xml:space="preserve">Moving Up </w:t>
            </w:r>
          </w:p>
          <w:p w14:paraId="78653578" w14:textId="570FE968" w:rsidR="00A0302A" w:rsidRPr="00153049" w:rsidRDefault="00A0302A" w:rsidP="00A0302A">
            <w:pPr>
              <w:rPr>
                <w:rFonts w:eastAsia="Arial"/>
              </w:rPr>
            </w:pPr>
            <w:r w:rsidRPr="00214208">
              <w:t xml:space="preserve">A 2-day programme to support staff who wish to develop and progress their career and which ring fences </w:t>
            </w:r>
            <w:proofErr w:type="gramStart"/>
            <w:r w:rsidRPr="00214208">
              <w:t>a number of</w:t>
            </w:r>
            <w:proofErr w:type="gramEnd"/>
            <w:r w:rsidRPr="00214208">
              <w:t xml:space="preserve"> places for protected groups.</w:t>
            </w:r>
          </w:p>
          <w:p w14:paraId="5788340C" w14:textId="77777777" w:rsidR="00105646" w:rsidRPr="00153049" w:rsidRDefault="00105646" w:rsidP="00D4735B">
            <w:pPr>
              <w:jc w:val="center"/>
              <w:rPr>
                <w:b/>
              </w:rPr>
            </w:pPr>
          </w:p>
        </w:tc>
        <w:tc>
          <w:tcPr>
            <w:tcW w:w="1423" w:type="dxa"/>
          </w:tcPr>
          <w:p w14:paraId="02E610C8" w14:textId="1068375B" w:rsidR="00105646" w:rsidRDefault="00D6315E" w:rsidP="00D4735B">
            <w:pPr>
              <w:jc w:val="center"/>
              <w:rPr>
                <w:b/>
              </w:rPr>
            </w:pPr>
            <w:r>
              <w:rPr>
                <w:b/>
              </w:rPr>
              <w:lastRenderedPageBreak/>
              <w:t>2</w:t>
            </w:r>
          </w:p>
          <w:p w14:paraId="09205057" w14:textId="0F3ADFE2" w:rsidR="00532B2D" w:rsidRDefault="00532B2D" w:rsidP="00D4735B">
            <w:pPr>
              <w:jc w:val="center"/>
              <w:rPr>
                <w:b/>
              </w:rPr>
            </w:pPr>
            <w:r w:rsidRPr="00532B2D">
              <w:rPr>
                <w:b/>
                <w:color w:val="00B050"/>
              </w:rPr>
              <w:t>Achieving</w:t>
            </w:r>
          </w:p>
          <w:p w14:paraId="1F41A46D" w14:textId="3B670284" w:rsidR="00532B2D" w:rsidRPr="00153049" w:rsidRDefault="00532B2D" w:rsidP="00D4735B">
            <w:pPr>
              <w:jc w:val="center"/>
              <w:rPr>
                <w:b/>
              </w:rPr>
            </w:pPr>
          </w:p>
        </w:tc>
        <w:tc>
          <w:tcPr>
            <w:tcW w:w="1984" w:type="dxa"/>
          </w:tcPr>
          <w:p w14:paraId="344DAAF0" w14:textId="1BEDEE07" w:rsidR="00105646" w:rsidRPr="00153049" w:rsidRDefault="00153049" w:rsidP="00D4735B">
            <w:pPr>
              <w:jc w:val="center"/>
              <w:rPr>
                <w:b/>
              </w:rPr>
            </w:pPr>
            <w:r w:rsidRPr="00153049">
              <w:rPr>
                <w:b/>
              </w:rPr>
              <w:t>Head of HR – Organisational Development &amp; Culture</w:t>
            </w:r>
          </w:p>
        </w:tc>
      </w:tr>
    </w:tbl>
    <w:p w14:paraId="57FFA1A7" w14:textId="04E95F62" w:rsidR="00105646" w:rsidRPr="00153049" w:rsidRDefault="00105646" w:rsidP="001D2C8A">
      <w:pPr>
        <w:jc w:val="center"/>
        <w:rPr>
          <w:b/>
        </w:rPr>
      </w:pPr>
    </w:p>
    <w:p w14:paraId="4C331271" w14:textId="319E719C" w:rsidR="009B04FE" w:rsidRPr="00153049" w:rsidRDefault="009B04FE" w:rsidP="001D2C8A">
      <w:pPr>
        <w:jc w:val="center"/>
        <w:rPr>
          <w:b/>
        </w:rPr>
      </w:pPr>
    </w:p>
    <w:tbl>
      <w:tblPr>
        <w:tblStyle w:val="TableGrid"/>
        <w:tblW w:w="15168" w:type="dxa"/>
        <w:tblInd w:w="-431" w:type="dxa"/>
        <w:tblLayout w:type="fixed"/>
        <w:tblLook w:val="04A0" w:firstRow="1" w:lastRow="0" w:firstColumn="1" w:lastColumn="0" w:noHBand="0" w:noVBand="1"/>
      </w:tblPr>
      <w:tblGrid>
        <w:gridCol w:w="1988"/>
        <w:gridCol w:w="3262"/>
        <w:gridCol w:w="6516"/>
        <w:gridCol w:w="1418"/>
        <w:gridCol w:w="1984"/>
      </w:tblGrid>
      <w:tr w:rsidR="009B04FE" w14:paraId="3E6CD2E6" w14:textId="77777777" w:rsidTr="00532B2D">
        <w:trPr>
          <w:trHeight w:val="368"/>
          <w:tblHeader/>
        </w:trPr>
        <w:tc>
          <w:tcPr>
            <w:tcW w:w="1988" w:type="dxa"/>
            <w:shd w:val="clear" w:color="auto" w:fill="D9E2F3" w:themeFill="accent1" w:themeFillTint="33"/>
          </w:tcPr>
          <w:p w14:paraId="121A6A1B" w14:textId="77777777" w:rsidR="009B04FE" w:rsidRDefault="009B04FE" w:rsidP="008110B4">
            <w:pPr>
              <w:jc w:val="center"/>
              <w:rPr>
                <w:b/>
                <w:sz w:val="28"/>
                <w:szCs w:val="28"/>
              </w:rPr>
            </w:pPr>
            <w:bookmarkStart w:id="2" w:name="_Hlk126758087"/>
            <w:r>
              <w:rPr>
                <w:b/>
                <w:sz w:val="28"/>
                <w:szCs w:val="28"/>
              </w:rPr>
              <w:t>Domain 2</w:t>
            </w:r>
          </w:p>
        </w:tc>
        <w:tc>
          <w:tcPr>
            <w:tcW w:w="3262" w:type="dxa"/>
            <w:shd w:val="clear" w:color="auto" w:fill="D9E2F3" w:themeFill="accent1" w:themeFillTint="33"/>
          </w:tcPr>
          <w:p w14:paraId="1A6558F7" w14:textId="77777777" w:rsidR="009B04FE" w:rsidRDefault="009B04FE" w:rsidP="008110B4">
            <w:pPr>
              <w:jc w:val="center"/>
              <w:rPr>
                <w:b/>
                <w:sz w:val="28"/>
                <w:szCs w:val="28"/>
              </w:rPr>
            </w:pPr>
            <w:r>
              <w:rPr>
                <w:b/>
                <w:sz w:val="28"/>
                <w:szCs w:val="28"/>
              </w:rPr>
              <w:t>Outcome</w:t>
            </w:r>
          </w:p>
        </w:tc>
        <w:tc>
          <w:tcPr>
            <w:tcW w:w="6516" w:type="dxa"/>
            <w:shd w:val="clear" w:color="auto" w:fill="D9E2F3" w:themeFill="accent1" w:themeFillTint="33"/>
          </w:tcPr>
          <w:p w14:paraId="3D12B653" w14:textId="77777777" w:rsidR="009B04FE" w:rsidRDefault="009B04FE" w:rsidP="00177906">
            <w:pPr>
              <w:jc w:val="center"/>
              <w:rPr>
                <w:b/>
                <w:sz w:val="28"/>
                <w:szCs w:val="28"/>
              </w:rPr>
            </w:pPr>
            <w:r>
              <w:rPr>
                <w:b/>
                <w:sz w:val="28"/>
                <w:szCs w:val="28"/>
              </w:rPr>
              <w:t>Evidence</w:t>
            </w:r>
          </w:p>
        </w:tc>
        <w:tc>
          <w:tcPr>
            <w:tcW w:w="1418" w:type="dxa"/>
            <w:shd w:val="clear" w:color="auto" w:fill="D9E2F3" w:themeFill="accent1" w:themeFillTint="33"/>
          </w:tcPr>
          <w:p w14:paraId="1B85BF05" w14:textId="77777777" w:rsidR="00F9469E" w:rsidRDefault="00F9469E" w:rsidP="008110B4">
            <w:pPr>
              <w:jc w:val="center"/>
              <w:rPr>
                <w:b/>
                <w:sz w:val="28"/>
                <w:szCs w:val="28"/>
              </w:rPr>
            </w:pPr>
            <w:r>
              <w:rPr>
                <w:b/>
                <w:sz w:val="28"/>
                <w:szCs w:val="28"/>
              </w:rPr>
              <w:t>Score/</w:t>
            </w:r>
          </w:p>
          <w:p w14:paraId="11E969A5" w14:textId="1829ED6A" w:rsidR="009B04FE" w:rsidRDefault="009B04FE" w:rsidP="008110B4">
            <w:pPr>
              <w:jc w:val="center"/>
              <w:rPr>
                <w:b/>
                <w:sz w:val="28"/>
                <w:szCs w:val="28"/>
              </w:rPr>
            </w:pPr>
            <w:r>
              <w:rPr>
                <w:b/>
                <w:sz w:val="28"/>
                <w:szCs w:val="28"/>
              </w:rPr>
              <w:t>Rating</w:t>
            </w:r>
          </w:p>
        </w:tc>
        <w:tc>
          <w:tcPr>
            <w:tcW w:w="1984" w:type="dxa"/>
            <w:shd w:val="clear" w:color="auto" w:fill="D9E2F3" w:themeFill="accent1" w:themeFillTint="33"/>
          </w:tcPr>
          <w:p w14:paraId="42868A1A" w14:textId="77777777" w:rsidR="009B04FE" w:rsidRDefault="009B04FE" w:rsidP="008110B4">
            <w:pPr>
              <w:jc w:val="center"/>
              <w:rPr>
                <w:b/>
                <w:sz w:val="28"/>
                <w:szCs w:val="28"/>
              </w:rPr>
            </w:pPr>
            <w:r>
              <w:rPr>
                <w:b/>
                <w:sz w:val="28"/>
                <w:szCs w:val="28"/>
              </w:rPr>
              <w:t>Owner/Lead</w:t>
            </w:r>
          </w:p>
        </w:tc>
      </w:tr>
      <w:tr w:rsidR="009B04FE" w14:paraId="26298AEC" w14:textId="77777777" w:rsidTr="00532B2D">
        <w:trPr>
          <w:trHeight w:val="1109"/>
        </w:trPr>
        <w:tc>
          <w:tcPr>
            <w:tcW w:w="1988" w:type="dxa"/>
          </w:tcPr>
          <w:p w14:paraId="6FE39805" w14:textId="77777777" w:rsidR="009B04FE" w:rsidRDefault="009B04FE" w:rsidP="008110B4">
            <w:pPr>
              <w:jc w:val="center"/>
              <w:rPr>
                <w:b/>
                <w:sz w:val="28"/>
                <w:szCs w:val="28"/>
              </w:rPr>
            </w:pPr>
            <w:r w:rsidRPr="009B04FE">
              <w:rPr>
                <w:b/>
                <w:sz w:val="28"/>
                <w:szCs w:val="28"/>
              </w:rPr>
              <w:t>Workforce health and well-being</w:t>
            </w:r>
          </w:p>
        </w:tc>
        <w:tc>
          <w:tcPr>
            <w:tcW w:w="3262" w:type="dxa"/>
          </w:tcPr>
          <w:p w14:paraId="534DA32F" w14:textId="77777777" w:rsidR="009B04FE" w:rsidRDefault="009B04FE" w:rsidP="008110B4">
            <w:pPr>
              <w:jc w:val="center"/>
              <w:rPr>
                <w:b/>
              </w:rPr>
            </w:pPr>
            <w:r w:rsidRPr="00F74187">
              <w:rPr>
                <w:b/>
              </w:rPr>
              <w:t>2C: Staff have access to independent support and advice when suffering from stress, abuse, bullying harassment and physical violence from any source</w:t>
            </w:r>
          </w:p>
          <w:p w14:paraId="3AD899D4" w14:textId="77777777" w:rsidR="00936D95" w:rsidRDefault="00936D95" w:rsidP="008110B4">
            <w:pPr>
              <w:jc w:val="center"/>
              <w:rPr>
                <w:b/>
              </w:rPr>
            </w:pPr>
          </w:p>
          <w:p w14:paraId="5C74DA65" w14:textId="77777777" w:rsidR="00936D95" w:rsidRDefault="00936D95" w:rsidP="008110B4">
            <w:pPr>
              <w:jc w:val="center"/>
              <w:rPr>
                <w:b/>
              </w:rPr>
            </w:pPr>
          </w:p>
          <w:p w14:paraId="20C92D89" w14:textId="77777777" w:rsidR="00936D95" w:rsidRDefault="00936D95" w:rsidP="008110B4">
            <w:pPr>
              <w:jc w:val="center"/>
              <w:rPr>
                <w:b/>
              </w:rPr>
            </w:pPr>
          </w:p>
          <w:p w14:paraId="3CB61F72" w14:textId="77777777" w:rsidR="00936D95" w:rsidRDefault="00936D95" w:rsidP="008110B4">
            <w:pPr>
              <w:jc w:val="center"/>
              <w:rPr>
                <w:b/>
              </w:rPr>
            </w:pPr>
          </w:p>
          <w:p w14:paraId="094BE930" w14:textId="60E4985D" w:rsidR="00936D95" w:rsidRDefault="00936D95" w:rsidP="008110B4">
            <w:pPr>
              <w:jc w:val="center"/>
              <w:rPr>
                <w:b/>
                <w:sz w:val="28"/>
                <w:szCs w:val="28"/>
              </w:rPr>
            </w:pPr>
          </w:p>
        </w:tc>
        <w:tc>
          <w:tcPr>
            <w:tcW w:w="6516" w:type="dxa"/>
          </w:tcPr>
          <w:p w14:paraId="488EDA15" w14:textId="0F27B53F" w:rsidR="009B04FE" w:rsidRDefault="00177906" w:rsidP="00177906">
            <w:pPr>
              <w:rPr>
                <w:rFonts w:eastAsia="Arial"/>
              </w:rPr>
            </w:pPr>
            <w:r>
              <w:rPr>
                <w:rFonts w:eastAsia="Arial"/>
              </w:rPr>
              <w:lastRenderedPageBreak/>
              <w:t xml:space="preserve">Within the Trust there </w:t>
            </w:r>
            <w:r w:rsidR="00713ADD">
              <w:rPr>
                <w:rFonts w:eastAsia="Arial"/>
              </w:rPr>
              <w:t xml:space="preserve">is a Dignity at Work Policy and </w:t>
            </w:r>
            <w:r w:rsidR="000A0FDC" w:rsidRPr="00BA19CC">
              <w:rPr>
                <w:rFonts w:eastAsia="Arial"/>
              </w:rPr>
              <w:t xml:space="preserve">approximately </w:t>
            </w:r>
            <w:r w:rsidR="00D6315E">
              <w:rPr>
                <w:rFonts w:eastAsia="Arial"/>
              </w:rPr>
              <w:t>50</w:t>
            </w:r>
            <w:r w:rsidR="000A0FDC" w:rsidRPr="00BA19CC">
              <w:rPr>
                <w:rFonts w:eastAsia="Arial"/>
              </w:rPr>
              <w:t xml:space="preserve"> Dignity at Work Advisors to provide confidential, independent advice and support to staff in relation to workplace concerns. Through collaborative working with the Freedom to Speak Up Guardian and different staff networks the support offered has been strengthened, </w:t>
            </w:r>
            <w:proofErr w:type="gramStart"/>
            <w:r w:rsidR="000A0FDC" w:rsidRPr="00BA19CC">
              <w:rPr>
                <w:rFonts w:eastAsia="Arial"/>
              </w:rPr>
              <w:t>streamlined</w:t>
            </w:r>
            <w:proofErr w:type="gramEnd"/>
            <w:r w:rsidR="000A0FDC" w:rsidRPr="00BA19CC">
              <w:rPr>
                <w:rFonts w:eastAsia="Arial"/>
              </w:rPr>
              <w:t xml:space="preserve"> and become more accessible and inclusive, year-on-year improving in being reflective of the workforce.</w:t>
            </w:r>
          </w:p>
          <w:p w14:paraId="6EE6D9D1" w14:textId="6CAA2BA6" w:rsidR="000A0FDC" w:rsidRDefault="000A0FDC" w:rsidP="00177906">
            <w:pPr>
              <w:rPr>
                <w:rFonts w:eastAsia="Arial"/>
              </w:rPr>
            </w:pPr>
          </w:p>
          <w:p w14:paraId="57596069" w14:textId="2F9ED284" w:rsidR="00713ADD" w:rsidRDefault="00713ADD" w:rsidP="00177906">
            <w:pPr>
              <w:rPr>
                <w:rFonts w:eastAsia="Arial"/>
              </w:rPr>
            </w:pPr>
            <w:r>
              <w:rPr>
                <w:color w:val="000000"/>
              </w:rPr>
              <w:lastRenderedPageBreak/>
              <w:t xml:space="preserve">The Trust’s </w:t>
            </w:r>
            <w:r w:rsidRPr="008E1145">
              <w:rPr>
                <w:color w:val="000000"/>
              </w:rPr>
              <w:t>Freedom to Speak Up Guardian support</w:t>
            </w:r>
            <w:r>
              <w:rPr>
                <w:color w:val="000000"/>
              </w:rPr>
              <w:t xml:space="preserve">s staff to </w:t>
            </w:r>
            <w:r w:rsidRPr="008E1145">
              <w:rPr>
                <w:color w:val="000000"/>
              </w:rPr>
              <w:t xml:space="preserve">speak up if </w:t>
            </w:r>
            <w:r>
              <w:rPr>
                <w:color w:val="000000"/>
              </w:rPr>
              <w:t xml:space="preserve">they </w:t>
            </w:r>
            <w:r w:rsidRPr="008E1145">
              <w:rPr>
                <w:color w:val="000000"/>
              </w:rPr>
              <w:t xml:space="preserve">feel unable to do so by other routes. The </w:t>
            </w:r>
            <w:r>
              <w:rPr>
                <w:color w:val="000000"/>
              </w:rPr>
              <w:t>G</w:t>
            </w:r>
            <w:r w:rsidRPr="008E1145">
              <w:rPr>
                <w:color w:val="000000"/>
              </w:rPr>
              <w:t xml:space="preserve">uardian </w:t>
            </w:r>
            <w:r>
              <w:rPr>
                <w:color w:val="000000"/>
              </w:rPr>
              <w:t xml:space="preserve">ensures </w:t>
            </w:r>
            <w:r w:rsidRPr="008E1145">
              <w:rPr>
                <w:color w:val="000000"/>
              </w:rPr>
              <w:t>that people who speak up are thanked for doing so, that the issues they raise are responded to, and that the person speaking up receives feedback on the actions taken.</w:t>
            </w:r>
            <w:r>
              <w:rPr>
                <w:rFonts w:eastAsia="Arial"/>
              </w:rPr>
              <w:t xml:space="preserve"> T</w:t>
            </w:r>
            <w:r w:rsidRPr="008E1145">
              <w:rPr>
                <w:color w:val="000000"/>
              </w:rPr>
              <w:t>he</w:t>
            </w:r>
            <w:r>
              <w:rPr>
                <w:color w:val="000000"/>
              </w:rPr>
              <w:t xml:space="preserve"> Freedom to Speak Up Policy has recently been </w:t>
            </w:r>
            <w:r w:rsidRPr="00713ADD">
              <w:t xml:space="preserve">reviewed </w:t>
            </w:r>
            <w:r>
              <w:t xml:space="preserve">to reflect the approach and ensure </w:t>
            </w:r>
            <w:r w:rsidRPr="00713ADD">
              <w:t xml:space="preserve">people are empowered to speak up internally </w:t>
            </w:r>
            <w:r w:rsidRPr="008E1145">
              <w:rPr>
                <w:color w:val="000000"/>
              </w:rPr>
              <w:t>or externally about anything that gets in the way of patient care or affects working life</w:t>
            </w:r>
            <w:r>
              <w:rPr>
                <w:color w:val="000000"/>
              </w:rPr>
              <w:t>.</w:t>
            </w:r>
          </w:p>
          <w:p w14:paraId="6614FB51" w14:textId="77777777" w:rsidR="00713ADD" w:rsidRDefault="00713ADD" w:rsidP="00177906">
            <w:pPr>
              <w:rPr>
                <w:rFonts w:eastAsia="Arial"/>
              </w:rPr>
            </w:pPr>
          </w:p>
          <w:p w14:paraId="2A4AEC84" w14:textId="77777777" w:rsidR="00A0302A" w:rsidRDefault="000A0FDC" w:rsidP="00177906">
            <w:pPr>
              <w:rPr>
                <w:rFonts w:eastAsia="Arial"/>
              </w:rPr>
            </w:pPr>
            <w:r w:rsidRPr="00BA19CC">
              <w:rPr>
                <w:rFonts w:eastAsia="Arial"/>
              </w:rPr>
              <w:t xml:space="preserve">A new Resolution (Grievance) Policy </w:t>
            </w:r>
            <w:r w:rsidR="00713ADD">
              <w:rPr>
                <w:rFonts w:eastAsia="Arial"/>
              </w:rPr>
              <w:t>has been ap</w:t>
            </w:r>
            <w:r w:rsidRPr="00BA19CC">
              <w:rPr>
                <w:rFonts w:eastAsia="Arial"/>
              </w:rPr>
              <w:t xml:space="preserve">proved, which has been developed with input from a wide cross-section of staff experience. The </w:t>
            </w:r>
            <w:proofErr w:type="gramStart"/>
            <w:r w:rsidRPr="00BA19CC">
              <w:rPr>
                <w:rFonts w:eastAsia="Arial"/>
              </w:rPr>
              <w:t>main focus</w:t>
            </w:r>
            <w:proofErr w:type="gramEnd"/>
            <w:r w:rsidRPr="00BA19CC">
              <w:rPr>
                <w:rFonts w:eastAsia="Arial"/>
              </w:rPr>
              <w:t xml:space="preserve"> is primarily sustainable resolution of workplace concerns with the expectation that all parties work collaboratively to achieve this. The new focus aims to avoid lengthy investigations therefore arriving at resolution in a much mor</w:t>
            </w:r>
          </w:p>
          <w:p w14:paraId="36339D6F" w14:textId="7712E0E7" w:rsidR="000A0FDC" w:rsidRDefault="000A0FDC" w:rsidP="00177906">
            <w:pPr>
              <w:rPr>
                <w:rFonts w:eastAsia="Arial"/>
              </w:rPr>
            </w:pPr>
            <w:r w:rsidRPr="00BA19CC">
              <w:rPr>
                <w:rFonts w:eastAsia="Arial"/>
              </w:rPr>
              <w:t>e timely way, safeguarding psychological safety and health and wellbeing.</w:t>
            </w:r>
          </w:p>
          <w:p w14:paraId="64F3BD9F" w14:textId="75BE5A6B" w:rsidR="000A0FDC" w:rsidRDefault="000A0FDC" w:rsidP="00177906">
            <w:pPr>
              <w:rPr>
                <w:rFonts w:eastAsia="Arial"/>
              </w:rPr>
            </w:pPr>
          </w:p>
          <w:p w14:paraId="229FBD06" w14:textId="7547DA9A" w:rsidR="000A0FDC" w:rsidRDefault="00713ADD" w:rsidP="00177906">
            <w:pPr>
              <w:rPr>
                <w:rFonts w:eastAsia="Arial"/>
              </w:rPr>
            </w:pPr>
            <w:r>
              <w:rPr>
                <w:rFonts w:eastAsia="Arial"/>
              </w:rPr>
              <w:t xml:space="preserve">All policies are equality impact assessed to ensure any disproportionate negative impact is mitigated. </w:t>
            </w:r>
          </w:p>
          <w:p w14:paraId="609A4938" w14:textId="77777777" w:rsidR="00713ADD" w:rsidRDefault="00713ADD" w:rsidP="00177906">
            <w:pPr>
              <w:rPr>
                <w:rFonts w:eastAsia="Arial"/>
              </w:rPr>
            </w:pPr>
          </w:p>
          <w:p w14:paraId="6F4B1F1B" w14:textId="4297B22A" w:rsidR="000A0FDC" w:rsidRDefault="000A0FDC" w:rsidP="00177906">
            <w:pPr>
              <w:rPr>
                <w:rFonts w:eastAsia="Arial"/>
              </w:rPr>
            </w:pPr>
            <w:r w:rsidRPr="00BA19CC">
              <w:rPr>
                <w:rFonts w:eastAsia="Arial"/>
              </w:rPr>
              <w:t>F</w:t>
            </w:r>
            <w:r w:rsidR="00713ADD">
              <w:rPr>
                <w:rFonts w:eastAsia="Arial"/>
              </w:rPr>
              <w:t xml:space="preserve">ive staff networks have been </w:t>
            </w:r>
            <w:r w:rsidRPr="00BA19CC">
              <w:rPr>
                <w:rFonts w:eastAsia="Arial"/>
              </w:rPr>
              <w:t>established with Chairs and Executive Sponsors to assist in unblocking barriers and obstacles, including BME Staff Network, Lesbian, Gay, Bisexual and Trans+ Staff Network, Disabled Staff Network</w:t>
            </w:r>
            <w:r w:rsidR="00713ADD">
              <w:rPr>
                <w:rFonts w:eastAsia="Arial"/>
              </w:rPr>
              <w:t>,</w:t>
            </w:r>
            <w:r w:rsidRPr="00BA19CC">
              <w:rPr>
                <w:rFonts w:eastAsia="Arial"/>
              </w:rPr>
              <w:t xml:space="preserve"> Female </w:t>
            </w:r>
            <w:proofErr w:type="gramStart"/>
            <w:r w:rsidRPr="00BA19CC">
              <w:rPr>
                <w:rFonts w:eastAsia="Arial"/>
              </w:rPr>
              <w:t>Leaders</w:t>
            </w:r>
            <w:proofErr w:type="gramEnd"/>
            <w:r w:rsidR="00713ADD">
              <w:rPr>
                <w:rFonts w:eastAsia="Arial"/>
              </w:rPr>
              <w:t xml:space="preserve"> and Religion or Belief/Interfaith</w:t>
            </w:r>
            <w:r w:rsidRPr="00BA19CC">
              <w:rPr>
                <w:rFonts w:eastAsia="Arial"/>
              </w:rPr>
              <w:t xml:space="preserve">. All staff networks have the purpose of driving forward positively and proactively the addressing of strategic issues </w:t>
            </w:r>
            <w:r w:rsidRPr="00BA19CC">
              <w:rPr>
                <w:rFonts w:eastAsia="Arial"/>
              </w:rPr>
              <w:lastRenderedPageBreak/>
              <w:t>affected by the protected group</w:t>
            </w:r>
            <w:r w:rsidR="00713ADD">
              <w:rPr>
                <w:rFonts w:eastAsia="Arial"/>
              </w:rPr>
              <w:t xml:space="preserve">, including </w:t>
            </w:r>
            <w:r w:rsidR="00EE30D2">
              <w:rPr>
                <w:rFonts w:eastAsia="Arial"/>
              </w:rPr>
              <w:t xml:space="preserve">bullying, </w:t>
            </w:r>
            <w:proofErr w:type="gramStart"/>
            <w:r w:rsidR="00EE30D2">
              <w:rPr>
                <w:rFonts w:eastAsia="Arial"/>
              </w:rPr>
              <w:t>harassment</w:t>
            </w:r>
            <w:proofErr w:type="gramEnd"/>
            <w:r w:rsidR="00EE30D2">
              <w:rPr>
                <w:rFonts w:eastAsia="Arial"/>
              </w:rPr>
              <w:t xml:space="preserve"> and discrimination. </w:t>
            </w:r>
            <w:r w:rsidRPr="00BA19CC">
              <w:rPr>
                <w:rFonts w:eastAsia="Arial"/>
              </w:rPr>
              <w:t xml:space="preserve">All staff networks acknowledge intersectionality and the need to work collaboratively together.  </w:t>
            </w:r>
          </w:p>
          <w:p w14:paraId="582E3F3C" w14:textId="013CD0F8" w:rsidR="004E3439" w:rsidRDefault="004E3439" w:rsidP="00177906">
            <w:pPr>
              <w:rPr>
                <w:rFonts w:eastAsia="Arial"/>
              </w:rPr>
            </w:pPr>
          </w:p>
          <w:p w14:paraId="15296A5A" w14:textId="2FA750D4" w:rsidR="004E3439" w:rsidRPr="00BA19CC" w:rsidRDefault="004E3439" w:rsidP="00177906">
            <w:pPr>
              <w:rPr>
                <w:rFonts w:eastAsia="Arial"/>
              </w:rPr>
            </w:pPr>
            <w:r w:rsidRPr="00D6315E">
              <w:rPr>
                <w:rFonts w:eastAsia="Arial"/>
                <w:iCs/>
              </w:rPr>
              <w:t xml:space="preserve">Challenging Behaviours Steering Group </w:t>
            </w:r>
            <w:r w:rsidR="00EE30D2">
              <w:rPr>
                <w:rFonts w:eastAsia="Arial"/>
                <w:iCs/>
              </w:rPr>
              <w:t xml:space="preserve">has been </w:t>
            </w:r>
            <w:r w:rsidRPr="00D6315E">
              <w:rPr>
                <w:rFonts w:eastAsia="Arial"/>
                <w:iCs/>
              </w:rPr>
              <w:t>established to support staff following an experience of violence or aggressions within the workplace</w:t>
            </w:r>
            <w:r w:rsidR="00EE30D2">
              <w:rPr>
                <w:rFonts w:eastAsia="Arial"/>
                <w:iCs/>
              </w:rPr>
              <w:t xml:space="preserve"> and to e</w:t>
            </w:r>
            <w:r w:rsidRPr="00D6315E">
              <w:rPr>
                <w:rFonts w:eastAsia="Arial"/>
                <w:iCs/>
              </w:rPr>
              <w:t>ncourage reporting of such instances and utilising the data to reduce instances moving forwards. The Group aims to achieve this utilising a new collaborative approach between specialties including HR, Estates and Facilities, and Clinical</w:t>
            </w:r>
            <w:r w:rsidRPr="00153049">
              <w:rPr>
                <w:rFonts w:eastAsia="Arial"/>
              </w:rPr>
              <w:t xml:space="preserve"> colleagues, which result in holistic solutions.</w:t>
            </w:r>
            <w:r>
              <w:rPr>
                <w:lang w:eastAsia="en-US"/>
              </w:rPr>
              <w:t xml:space="preserve"> New ‘Report for Support’ campaign launched to engage</w:t>
            </w:r>
            <w:r w:rsidR="00EE30D2">
              <w:rPr>
                <w:lang w:eastAsia="en-US"/>
              </w:rPr>
              <w:t xml:space="preserve"> </w:t>
            </w:r>
            <w:r>
              <w:rPr>
                <w:lang w:eastAsia="en-US"/>
              </w:rPr>
              <w:t>patients and visitors to report, as well as staff</w:t>
            </w:r>
            <w:r w:rsidR="00EE30D2">
              <w:rPr>
                <w:lang w:eastAsia="en-US"/>
              </w:rPr>
              <w:t>, one key outcome</w:t>
            </w:r>
            <w:r>
              <w:rPr>
                <w:lang w:eastAsia="en-US"/>
              </w:rPr>
              <w:t>.</w:t>
            </w:r>
          </w:p>
          <w:p w14:paraId="403D832C" w14:textId="28415F04" w:rsidR="000A0FDC" w:rsidRDefault="000A0FDC" w:rsidP="00177906">
            <w:pPr>
              <w:rPr>
                <w:b/>
                <w:sz w:val="28"/>
                <w:szCs w:val="28"/>
              </w:rPr>
            </w:pPr>
          </w:p>
        </w:tc>
        <w:tc>
          <w:tcPr>
            <w:tcW w:w="1418" w:type="dxa"/>
          </w:tcPr>
          <w:p w14:paraId="42319B88" w14:textId="77777777" w:rsidR="009B04FE" w:rsidRDefault="00D6315E" w:rsidP="008110B4">
            <w:pPr>
              <w:jc w:val="center"/>
              <w:rPr>
                <w:b/>
                <w:sz w:val="28"/>
                <w:szCs w:val="28"/>
              </w:rPr>
            </w:pPr>
            <w:r>
              <w:rPr>
                <w:b/>
                <w:sz w:val="28"/>
                <w:szCs w:val="28"/>
              </w:rPr>
              <w:lastRenderedPageBreak/>
              <w:t>2</w:t>
            </w:r>
          </w:p>
          <w:p w14:paraId="12DDF352" w14:textId="0D7202F2" w:rsidR="00532B2D" w:rsidRDefault="00532B2D" w:rsidP="008110B4">
            <w:pPr>
              <w:jc w:val="center"/>
              <w:rPr>
                <w:b/>
                <w:sz w:val="28"/>
                <w:szCs w:val="28"/>
              </w:rPr>
            </w:pPr>
            <w:r w:rsidRPr="00532B2D">
              <w:rPr>
                <w:b/>
                <w:color w:val="00B050"/>
              </w:rPr>
              <w:t>Achieving</w:t>
            </w:r>
          </w:p>
        </w:tc>
        <w:tc>
          <w:tcPr>
            <w:tcW w:w="1984" w:type="dxa"/>
          </w:tcPr>
          <w:p w14:paraId="67CC5D70" w14:textId="79CD53CD" w:rsidR="009B04FE" w:rsidRDefault="00073871" w:rsidP="008110B4">
            <w:pPr>
              <w:jc w:val="center"/>
              <w:rPr>
                <w:b/>
                <w:sz w:val="28"/>
                <w:szCs w:val="28"/>
              </w:rPr>
            </w:pPr>
            <w:r w:rsidRPr="00153049">
              <w:rPr>
                <w:b/>
              </w:rPr>
              <w:t>Head of HR – Organisational Development &amp; Culture</w:t>
            </w:r>
          </w:p>
        </w:tc>
      </w:tr>
      <w:bookmarkEnd w:id="2"/>
    </w:tbl>
    <w:p w14:paraId="1D8035F7" w14:textId="6F09289A" w:rsidR="009B04FE" w:rsidRDefault="009B04FE" w:rsidP="001D2C8A">
      <w:pPr>
        <w:jc w:val="center"/>
        <w:rPr>
          <w:b/>
          <w:sz w:val="28"/>
          <w:szCs w:val="28"/>
        </w:rPr>
      </w:pPr>
    </w:p>
    <w:tbl>
      <w:tblPr>
        <w:tblStyle w:val="TableGrid"/>
        <w:tblW w:w="15310" w:type="dxa"/>
        <w:tblInd w:w="-431" w:type="dxa"/>
        <w:tblLayout w:type="fixed"/>
        <w:tblLook w:val="04A0" w:firstRow="1" w:lastRow="0" w:firstColumn="1" w:lastColumn="0" w:noHBand="0" w:noVBand="1"/>
      </w:tblPr>
      <w:tblGrid>
        <w:gridCol w:w="1971"/>
        <w:gridCol w:w="3275"/>
        <w:gridCol w:w="6520"/>
        <w:gridCol w:w="1418"/>
        <w:gridCol w:w="2126"/>
      </w:tblGrid>
      <w:tr w:rsidR="00532B2D" w14:paraId="01483848" w14:textId="77777777" w:rsidTr="001A7413">
        <w:trPr>
          <w:trHeight w:val="368"/>
          <w:tblHeader/>
        </w:trPr>
        <w:tc>
          <w:tcPr>
            <w:tcW w:w="1971" w:type="dxa"/>
            <w:shd w:val="clear" w:color="auto" w:fill="D9E2F3" w:themeFill="accent1" w:themeFillTint="33"/>
          </w:tcPr>
          <w:p w14:paraId="58CFEF53" w14:textId="77777777" w:rsidR="009B04FE" w:rsidRDefault="009B04FE" w:rsidP="008110B4">
            <w:pPr>
              <w:jc w:val="center"/>
              <w:rPr>
                <w:b/>
                <w:sz w:val="28"/>
                <w:szCs w:val="28"/>
              </w:rPr>
            </w:pPr>
            <w:r>
              <w:rPr>
                <w:b/>
                <w:sz w:val="28"/>
                <w:szCs w:val="28"/>
              </w:rPr>
              <w:t>Domain 2</w:t>
            </w:r>
          </w:p>
        </w:tc>
        <w:tc>
          <w:tcPr>
            <w:tcW w:w="3275" w:type="dxa"/>
            <w:shd w:val="clear" w:color="auto" w:fill="D9E2F3" w:themeFill="accent1" w:themeFillTint="33"/>
          </w:tcPr>
          <w:p w14:paraId="3C1D1D71" w14:textId="77777777" w:rsidR="009B04FE" w:rsidRDefault="009B04FE" w:rsidP="008110B4">
            <w:pPr>
              <w:jc w:val="center"/>
              <w:rPr>
                <w:b/>
                <w:sz w:val="28"/>
                <w:szCs w:val="28"/>
              </w:rPr>
            </w:pPr>
            <w:r>
              <w:rPr>
                <w:b/>
                <w:sz w:val="28"/>
                <w:szCs w:val="28"/>
              </w:rPr>
              <w:t>Outcome</w:t>
            </w:r>
          </w:p>
        </w:tc>
        <w:tc>
          <w:tcPr>
            <w:tcW w:w="6520" w:type="dxa"/>
            <w:shd w:val="clear" w:color="auto" w:fill="D9E2F3" w:themeFill="accent1" w:themeFillTint="33"/>
          </w:tcPr>
          <w:p w14:paraId="43FF4D2B" w14:textId="77777777" w:rsidR="009B04FE" w:rsidRDefault="009B04FE" w:rsidP="008110B4">
            <w:pPr>
              <w:jc w:val="center"/>
              <w:rPr>
                <w:b/>
                <w:sz w:val="28"/>
                <w:szCs w:val="28"/>
              </w:rPr>
            </w:pPr>
            <w:r>
              <w:rPr>
                <w:b/>
                <w:sz w:val="28"/>
                <w:szCs w:val="28"/>
              </w:rPr>
              <w:t>Evidence</w:t>
            </w:r>
          </w:p>
        </w:tc>
        <w:tc>
          <w:tcPr>
            <w:tcW w:w="1418" w:type="dxa"/>
            <w:shd w:val="clear" w:color="auto" w:fill="D9E2F3" w:themeFill="accent1" w:themeFillTint="33"/>
          </w:tcPr>
          <w:p w14:paraId="1A1257E8" w14:textId="77777777" w:rsidR="00F9469E" w:rsidRDefault="00F9469E" w:rsidP="00F9469E">
            <w:pPr>
              <w:jc w:val="center"/>
              <w:rPr>
                <w:b/>
                <w:sz w:val="28"/>
                <w:szCs w:val="28"/>
              </w:rPr>
            </w:pPr>
            <w:r>
              <w:rPr>
                <w:b/>
                <w:sz w:val="28"/>
                <w:szCs w:val="28"/>
              </w:rPr>
              <w:t>Score/</w:t>
            </w:r>
          </w:p>
          <w:p w14:paraId="344051A6" w14:textId="7E1F83DB" w:rsidR="009B04FE" w:rsidRDefault="009B04FE" w:rsidP="00F9469E">
            <w:pPr>
              <w:jc w:val="center"/>
              <w:rPr>
                <w:b/>
                <w:sz w:val="28"/>
                <w:szCs w:val="28"/>
              </w:rPr>
            </w:pPr>
            <w:r>
              <w:rPr>
                <w:b/>
                <w:sz w:val="28"/>
                <w:szCs w:val="28"/>
              </w:rPr>
              <w:t>Rating</w:t>
            </w:r>
          </w:p>
        </w:tc>
        <w:tc>
          <w:tcPr>
            <w:tcW w:w="2126" w:type="dxa"/>
            <w:shd w:val="clear" w:color="auto" w:fill="D9E2F3" w:themeFill="accent1" w:themeFillTint="33"/>
          </w:tcPr>
          <w:p w14:paraId="22891DC8" w14:textId="77777777" w:rsidR="009B04FE" w:rsidRDefault="009B04FE" w:rsidP="008110B4">
            <w:pPr>
              <w:jc w:val="center"/>
              <w:rPr>
                <w:b/>
                <w:sz w:val="28"/>
                <w:szCs w:val="28"/>
              </w:rPr>
            </w:pPr>
            <w:r>
              <w:rPr>
                <w:b/>
                <w:sz w:val="28"/>
                <w:szCs w:val="28"/>
              </w:rPr>
              <w:t>Owner/Lead</w:t>
            </w:r>
          </w:p>
        </w:tc>
      </w:tr>
      <w:tr w:rsidR="001A7413" w14:paraId="53B94E13" w14:textId="77777777" w:rsidTr="001A7413">
        <w:trPr>
          <w:trHeight w:val="1109"/>
        </w:trPr>
        <w:tc>
          <w:tcPr>
            <w:tcW w:w="1971" w:type="dxa"/>
          </w:tcPr>
          <w:p w14:paraId="4AA3E597" w14:textId="77777777" w:rsidR="009B04FE" w:rsidRDefault="009B04FE" w:rsidP="008110B4">
            <w:pPr>
              <w:jc w:val="center"/>
              <w:rPr>
                <w:b/>
                <w:sz w:val="28"/>
                <w:szCs w:val="28"/>
              </w:rPr>
            </w:pPr>
            <w:r w:rsidRPr="009B04FE">
              <w:rPr>
                <w:b/>
                <w:sz w:val="28"/>
                <w:szCs w:val="28"/>
              </w:rPr>
              <w:t>Workforce health and well-being</w:t>
            </w:r>
          </w:p>
        </w:tc>
        <w:tc>
          <w:tcPr>
            <w:tcW w:w="3275" w:type="dxa"/>
          </w:tcPr>
          <w:p w14:paraId="11F562B6" w14:textId="77777777" w:rsidR="009B04FE" w:rsidRDefault="009B04FE" w:rsidP="008110B4">
            <w:pPr>
              <w:jc w:val="center"/>
              <w:rPr>
                <w:b/>
              </w:rPr>
            </w:pPr>
            <w:r w:rsidRPr="009B04FE">
              <w:rPr>
                <w:b/>
              </w:rPr>
              <w:t>2D: Staff recommend the organisation as a place to work and receive treatment</w:t>
            </w:r>
          </w:p>
          <w:p w14:paraId="48808171" w14:textId="77777777" w:rsidR="00C84C22" w:rsidRDefault="00C84C22" w:rsidP="008110B4">
            <w:pPr>
              <w:jc w:val="center"/>
              <w:rPr>
                <w:b/>
              </w:rPr>
            </w:pPr>
          </w:p>
          <w:p w14:paraId="6D6B1B22" w14:textId="77777777" w:rsidR="00C84C22" w:rsidRDefault="00C84C22" w:rsidP="008110B4">
            <w:pPr>
              <w:jc w:val="center"/>
              <w:rPr>
                <w:b/>
              </w:rPr>
            </w:pPr>
          </w:p>
          <w:p w14:paraId="3FC515EC" w14:textId="77777777" w:rsidR="00C84C22" w:rsidRDefault="00C84C22" w:rsidP="008110B4">
            <w:pPr>
              <w:jc w:val="center"/>
              <w:rPr>
                <w:b/>
              </w:rPr>
            </w:pPr>
          </w:p>
          <w:p w14:paraId="0CABBDFB" w14:textId="40FCDD5D" w:rsidR="00C84C22" w:rsidRPr="009B04FE" w:rsidRDefault="00C84C22" w:rsidP="008110B4">
            <w:pPr>
              <w:jc w:val="center"/>
              <w:rPr>
                <w:b/>
              </w:rPr>
            </w:pPr>
          </w:p>
        </w:tc>
        <w:tc>
          <w:tcPr>
            <w:tcW w:w="6520" w:type="dxa"/>
          </w:tcPr>
          <w:p w14:paraId="6B8DBDD5" w14:textId="78EBC844" w:rsidR="00073871" w:rsidRDefault="00712D03" w:rsidP="00712D03">
            <w:pPr>
              <w:rPr>
                <w:bCs/>
              </w:rPr>
            </w:pPr>
            <w:r w:rsidRPr="00A0302A">
              <w:rPr>
                <w:bCs/>
              </w:rPr>
              <w:t>According to</w:t>
            </w:r>
            <w:r w:rsidR="00073871" w:rsidRPr="00A0302A">
              <w:rPr>
                <w:bCs/>
              </w:rPr>
              <w:t xml:space="preserve"> the NHS Staff Survey 2022 Results:</w:t>
            </w:r>
          </w:p>
          <w:p w14:paraId="086ED756" w14:textId="77777777" w:rsidR="00A0302A" w:rsidRPr="00A0302A" w:rsidRDefault="00A0302A" w:rsidP="00712D03">
            <w:pPr>
              <w:rPr>
                <w:bCs/>
              </w:rPr>
            </w:pPr>
          </w:p>
          <w:p w14:paraId="79BDF8E5" w14:textId="77777777" w:rsidR="00073871" w:rsidRPr="00A0302A" w:rsidRDefault="00712D03" w:rsidP="00A0302A">
            <w:pPr>
              <w:pStyle w:val="ListParagraph"/>
              <w:numPr>
                <w:ilvl w:val="0"/>
                <w:numId w:val="10"/>
              </w:numPr>
              <w:rPr>
                <w:rFonts w:ascii="Arial" w:hAnsi="Arial" w:cs="Arial"/>
                <w:bCs/>
                <w:sz w:val="24"/>
                <w:szCs w:val="24"/>
              </w:rPr>
            </w:pPr>
            <w:r w:rsidRPr="00A0302A">
              <w:rPr>
                <w:rFonts w:ascii="Arial" w:hAnsi="Arial" w:cs="Arial"/>
                <w:bCs/>
                <w:sz w:val="24"/>
                <w:szCs w:val="24"/>
              </w:rPr>
              <w:t xml:space="preserve">59.3% of staff </w:t>
            </w:r>
            <w:r w:rsidR="00073871" w:rsidRPr="00A0302A">
              <w:rPr>
                <w:rFonts w:ascii="Arial" w:hAnsi="Arial" w:cs="Arial"/>
                <w:bCs/>
                <w:sz w:val="24"/>
                <w:szCs w:val="24"/>
              </w:rPr>
              <w:t>w</w:t>
            </w:r>
            <w:r w:rsidRPr="00A0302A">
              <w:rPr>
                <w:rFonts w:ascii="Arial" w:hAnsi="Arial" w:cs="Arial"/>
                <w:bCs/>
                <w:sz w:val="24"/>
                <w:szCs w:val="24"/>
              </w:rPr>
              <w:t xml:space="preserve">ould recommend </w:t>
            </w:r>
            <w:r w:rsidR="00073871" w:rsidRPr="00A0302A">
              <w:rPr>
                <w:rFonts w:ascii="Arial" w:hAnsi="Arial" w:cs="Arial"/>
                <w:bCs/>
                <w:sz w:val="24"/>
                <w:szCs w:val="24"/>
              </w:rPr>
              <w:t xml:space="preserve">the Trust </w:t>
            </w:r>
            <w:r w:rsidRPr="00A0302A">
              <w:rPr>
                <w:rFonts w:ascii="Arial" w:hAnsi="Arial" w:cs="Arial"/>
                <w:bCs/>
                <w:sz w:val="24"/>
                <w:szCs w:val="24"/>
              </w:rPr>
              <w:t xml:space="preserve">as </w:t>
            </w:r>
            <w:r w:rsidR="00073871" w:rsidRPr="00A0302A">
              <w:rPr>
                <w:rFonts w:ascii="Arial" w:hAnsi="Arial" w:cs="Arial"/>
                <w:bCs/>
                <w:sz w:val="24"/>
                <w:szCs w:val="24"/>
              </w:rPr>
              <w:t xml:space="preserve">a </w:t>
            </w:r>
            <w:r w:rsidRPr="00A0302A">
              <w:rPr>
                <w:rFonts w:ascii="Arial" w:hAnsi="Arial" w:cs="Arial"/>
                <w:bCs/>
                <w:sz w:val="24"/>
                <w:szCs w:val="24"/>
              </w:rPr>
              <w:t>place to work</w:t>
            </w:r>
          </w:p>
          <w:p w14:paraId="776AB450" w14:textId="1A755B33" w:rsidR="00712D03" w:rsidRPr="00A0302A" w:rsidRDefault="00712D03" w:rsidP="00A0302A">
            <w:pPr>
              <w:pStyle w:val="ListParagraph"/>
              <w:numPr>
                <w:ilvl w:val="0"/>
                <w:numId w:val="10"/>
              </w:numPr>
              <w:rPr>
                <w:rFonts w:ascii="Arial" w:hAnsi="Arial" w:cs="Arial"/>
                <w:bCs/>
                <w:sz w:val="24"/>
                <w:szCs w:val="24"/>
              </w:rPr>
            </w:pPr>
            <w:r w:rsidRPr="00A0302A">
              <w:rPr>
                <w:rFonts w:ascii="Arial" w:hAnsi="Arial" w:cs="Arial"/>
                <w:bCs/>
                <w:sz w:val="24"/>
                <w:szCs w:val="24"/>
              </w:rPr>
              <w:t xml:space="preserve">68.4% </w:t>
            </w:r>
            <w:r w:rsidR="00073871" w:rsidRPr="00A0302A">
              <w:rPr>
                <w:rFonts w:ascii="Arial" w:hAnsi="Arial" w:cs="Arial"/>
                <w:bCs/>
                <w:sz w:val="24"/>
                <w:szCs w:val="24"/>
              </w:rPr>
              <w:t>of staff responded that i</w:t>
            </w:r>
            <w:r w:rsidRPr="00A0302A">
              <w:rPr>
                <w:rFonts w:ascii="Arial" w:hAnsi="Arial" w:cs="Arial"/>
                <w:bCs/>
                <w:sz w:val="24"/>
                <w:szCs w:val="24"/>
              </w:rPr>
              <w:t xml:space="preserve">f </w:t>
            </w:r>
            <w:r w:rsidR="00073871" w:rsidRPr="00A0302A">
              <w:rPr>
                <w:rFonts w:ascii="Arial" w:hAnsi="Arial" w:cs="Arial"/>
                <w:bCs/>
                <w:sz w:val="24"/>
                <w:szCs w:val="24"/>
              </w:rPr>
              <w:t xml:space="preserve">a </w:t>
            </w:r>
            <w:r w:rsidRPr="00A0302A">
              <w:rPr>
                <w:rFonts w:ascii="Arial" w:hAnsi="Arial" w:cs="Arial"/>
                <w:bCs/>
                <w:sz w:val="24"/>
                <w:szCs w:val="24"/>
              </w:rPr>
              <w:t xml:space="preserve">friend/relative needed treatment </w:t>
            </w:r>
            <w:r w:rsidR="00073871" w:rsidRPr="00A0302A">
              <w:rPr>
                <w:rFonts w:ascii="Arial" w:hAnsi="Arial" w:cs="Arial"/>
                <w:bCs/>
                <w:sz w:val="24"/>
                <w:szCs w:val="24"/>
              </w:rPr>
              <w:t xml:space="preserve">they </w:t>
            </w:r>
            <w:r w:rsidRPr="00A0302A">
              <w:rPr>
                <w:rFonts w:ascii="Arial" w:hAnsi="Arial" w:cs="Arial"/>
                <w:bCs/>
                <w:sz w:val="24"/>
                <w:szCs w:val="24"/>
              </w:rPr>
              <w:t xml:space="preserve">would be happy with standard of care provided by </w:t>
            </w:r>
            <w:r w:rsidR="00A0302A">
              <w:rPr>
                <w:rFonts w:ascii="Arial" w:hAnsi="Arial" w:cs="Arial"/>
                <w:bCs/>
                <w:sz w:val="24"/>
                <w:szCs w:val="24"/>
              </w:rPr>
              <w:t xml:space="preserve">the Trust. </w:t>
            </w:r>
          </w:p>
          <w:p w14:paraId="4377803D" w14:textId="6E5D4BC9" w:rsidR="00A0302A" w:rsidRDefault="00A0302A" w:rsidP="00073871">
            <w:proofErr w:type="gramStart"/>
            <w:r w:rsidRPr="00A0302A">
              <w:rPr>
                <w:color w:val="212B32"/>
                <w:shd w:val="clear" w:color="auto" w:fill="FFFFFF"/>
              </w:rPr>
              <w:t>A</w:t>
            </w:r>
            <w:r>
              <w:rPr>
                <w:color w:val="212B32"/>
                <w:shd w:val="clear" w:color="auto" w:fill="FFFFFF"/>
              </w:rPr>
              <w:t>s a consequence of</w:t>
            </w:r>
            <w:proofErr w:type="gramEnd"/>
            <w:r>
              <w:rPr>
                <w:color w:val="212B32"/>
                <w:shd w:val="clear" w:color="auto" w:fill="FFFFFF"/>
              </w:rPr>
              <w:t xml:space="preserve"> the NHS Staff Survey 2022 Results there are a number of actions that have been developed. </w:t>
            </w:r>
            <w:r>
              <w:rPr>
                <w:color w:val="212B32"/>
                <w:shd w:val="clear" w:color="auto" w:fill="FFFFFF"/>
              </w:rPr>
              <w:lastRenderedPageBreak/>
              <w:t xml:space="preserve">One action developed and currently being implemented is for all </w:t>
            </w:r>
            <w:r w:rsidRPr="00A0302A">
              <w:rPr>
                <w:color w:val="212B32"/>
                <w:shd w:val="clear" w:color="auto" w:fill="FFFFFF"/>
              </w:rPr>
              <w:t xml:space="preserve">leavers </w:t>
            </w:r>
            <w:r>
              <w:rPr>
                <w:color w:val="212B32"/>
                <w:shd w:val="clear" w:color="auto" w:fill="FFFFFF"/>
              </w:rPr>
              <w:t xml:space="preserve">to be </w:t>
            </w:r>
            <w:r w:rsidRPr="00A0302A">
              <w:rPr>
                <w:color w:val="212B32"/>
                <w:shd w:val="clear" w:color="auto" w:fill="FFFFFF"/>
              </w:rPr>
              <w:t>offered an exit interview. </w:t>
            </w:r>
            <w:r>
              <w:rPr>
                <w:color w:val="212B32"/>
                <w:shd w:val="clear" w:color="auto" w:fill="FFFFFF"/>
              </w:rPr>
              <w:t xml:space="preserve">As a result, </w:t>
            </w:r>
            <w:r w:rsidRPr="00A0302A">
              <w:rPr>
                <w:color w:val="212B32"/>
                <w:shd w:val="clear" w:color="auto" w:fill="FFFFFF"/>
              </w:rPr>
              <w:t xml:space="preserve">Clinical </w:t>
            </w:r>
            <w:r>
              <w:rPr>
                <w:color w:val="212B32"/>
                <w:shd w:val="clear" w:color="auto" w:fill="FFFFFF"/>
              </w:rPr>
              <w:t xml:space="preserve">and </w:t>
            </w:r>
            <w:r w:rsidRPr="00A0302A">
              <w:rPr>
                <w:color w:val="212B32"/>
                <w:shd w:val="clear" w:color="auto" w:fill="FFFFFF"/>
              </w:rPr>
              <w:t xml:space="preserve">Corporate Service Units (CSUs) are using feedback from </w:t>
            </w:r>
            <w:r>
              <w:rPr>
                <w:color w:val="212B32"/>
                <w:shd w:val="clear" w:color="auto" w:fill="FFFFFF"/>
              </w:rPr>
              <w:t>e</w:t>
            </w:r>
            <w:r w:rsidRPr="00A0302A">
              <w:rPr>
                <w:color w:val="212B32"/>
                <w:shd w:val="clear" w:color="auto" w:fill="FFFFFF"/>
              </w:rPr>
              <w:t xml:space="preserve">xit </w:t>
            </w:r>
            <w:r>
              <w:rPr>
                <w:color w:val="212B32"/>
                <w:shd w:val="clear" w:color="auto" w:fill="FFFFFF"/>
              </w:rPr>
              <w:t>i</w:t>
            </w:r>
            <w:r w:rsidRPr="00A0302A">
              <w:rPr>
                <w:color w:val="212B32"/>
                <w:shd w:val="clear" w:color="auto" w:fill="FFFFFF"/>
              </w:rPr>
              <w:t>nterviews to better understand why people leave and to identify where action can be taken to address any concerns that are highlighted.</w:t>
            </w:r>
          </w:p>
          <w:p w14:paraId="6A957AB3" w14:textId="77777777" w:rsidR="00A0302A" w:rsidRDefault="00A0302A" w:rsidP="00073871"/>
          <w:p w14:paraId="5B9D7ECD" w14:textId="5B38AB68" w:rsidR="00073871" w:rsidRDefault="00A0302A" w:rsidP="00073871">
            <w:r>
              <w:t xml:space="preserve">In addition, the Trust collates and compares the experiences of </w:t>
            </w:r>
            <w:r w:rsidR="00076F35">
              <w:t xml:space="preserve">all protected groups </w:t>
            </w:r>
            <w:r>
              <w:t>against other staff members</w:t>
            </w:r>
            <w:r w:rsidR="00076F35">
              <w:t xml:space="preserve"> across all staff survey questions</w:t>
            </w:r>
            <w:r>
              <w:t>.</w:t>
            </w:r>
            <w:r w:rsidR="00076F35">
              <w:t xml:space="preserve"> Remedial action is set out in the Trust’s EDI Action Plan, which incorporates actions related to staff-survey related indicators for the NHS Workforce Race Equality Standard, NHS Workforce Disability Equality Standard and NHS Rainbow Badge Assessment.</w:t>
            </w:r>
          </w:p>
          <w:p w14:paraId="33A4093F" w14:textId="41D2819A" w:rsidR="00A0302A" w:rsidRPr="00A0302A" w:rsidRDefault="00A0302A" w:rsidP="00073871">
            <w:pPr>
              <w:rPr>
                <w:b/>
              </w:rPr>
            </w:pPr>
          </w:p>
        </w:tc>
        <w:tc>
          <w:tcPr>
            <w:tcW w:w="1418" w:type="dxa"/>
          </w:tcPr>
          <w:p w14:paraId="5007548F" w14:textId="77777777" w:rsidR="009B04FE" w:rsidRDefault="00073871" w:rsidP="008110B4">
            <w:pPr>
              <w:jc w:val="center"/>
              <w:rPr>
                <w:b/>
                <w:sz w:val="28"/>
                <w:szCs w:val="28"/>
              </w:rPr>
            </w:pPr>
            <w:r>
              <w:rPr>
                <w:b/>
                <w:sz w:val="28"/>
                <w:szCs w:val="28"/>
              </w:rPr>
              <w:lastRenderedPageBreak/>
              <w:t>1</w:t>
            </w:r>
          </w:p>
          <w:p w14:paraId="37037F2B" w14:textId="296AC15A" w:rsidR="00532B2D" w:rsidRPr="009579AE" w:rsidRDefault="00532B2D" w:rsidP="008110B4">
            <w:pPr>
              <w:jc w:val="center"/>
              <w:rPr>
                <w:bCs/>
              </w:rPr>
            </w:pPr>
            <w:r w:rsidRPr="009579AE">
              <w:rPr>
                <w:bCs/>
                <w:color w:val="ED7D31" w:themeColor="accent2"/>
              </w:rPr>
              <w:t xml:space="preserve">Developing </w:t>
            </w:r>
          </w:p>
        </w:tc>
        <w:tc>
          <w:tcPr>
            <w:tcW w:w="2126" w:type="dxa"/>
          </w:tcPr>
          <w:p w14:paraId="1C3260D3" w14:textId="3DBDAA32" w:rsidR="009B04FE" w:rsidRDefault="00073871" w:rsidP="008110B4">
            <w:pPr>
              <w:jc w:val="center"/>
              <w:rPr>
                <w:b/>
                <w:sz w:val="28"/>
                <w:szCs w:val="28"/>
              </w:rPr>
            </w:pPr>
            <w:r w:rsidRPr="00153049">
              <w:rPr>
                <w:b/>
              </w:rPr>
              <w:t>Head of HR – Organisational Development &amp; Culture</w:t>
            </w:r>
          </w:p>
        </w:tc>
      </w:tr>
    </w:tbl>
    <w:p w14:paraId="4D67A104" w14:textId="1B990713" w:rsidR="009B04FE" w:rsidRDefault="009B04FE" w:rsidP="00076F35">
      <w:pPr>
        <w:jc w:val="center"/>
        <w:rPr>
          <w:b/>
          <w:sz w:val="28"/>
          <w:szCs w:val="28"/>
        </w:rPr>
      </w:pPr>
    </w:p>
    <w:sectPr w:rsidR="009B04FE" w:rsidSect="009B04FE">
      <w:headerReference w:type="even" r:id="rId14"/>
      <w:headerReference w:type="default" r:id="rId15"/>
      <w:footerReference w:type="even" r:id="rId16"/>
      <w:footerReference w:type="default" r:id="rId17"/>
      <w:headerReference w:type="first" r:id="rId18"/>
      <w:footerReference w:type="first" r:id="rId19"/>
      <w:pgSz w:w="16838" w:h="11906" w:orient="landscape"/>
      <w:pgMar w:top="59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EABC" w14:textId="77777777" w:rsidR="00266E95" w:rsidRDefault="00266E95" w:rsidP="00600785">
      <w:r>
        <w:separator/>
      </w:r>
    </w:p>
  </w:endnote>
  <w:endnote w:type="continuationSeparator" w:id="0">
    <w:p w14:paraId="0676BD31" w14:textId="77777777" w:rsidR="00266E95" w:rsidRDefault="00266E95" w:rsidP="0060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1C7C" w14:textId="77777777" w:rsidR="00076F35" w:rsidRDefault="00076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8A88" w14:textId="55F2E114" w:rsidR="00EE0026" w:rsidRDefault="00EE0026" w:rsidP="00EE0026">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p>
  <w:p w14:paraId="79CD30A9" w14:textId="77777777" w:rsidR="00E570E7" w:rsidRDefault="00E570E7">
    <w:pPr>
      <w:pStyle w:val="Footer"/>
    </w:pPr>
  </w:p>
  <w:p w14:paraId="0DC16BD3" w14:textId="77777777" w:rsidR="000E0E9F" w:rsidRDefault="000E0E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593A" w14:textId="77777777" w:rsidR="00076F35" w:rsidRDefault="00076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F733" w14:textId="77777777" w:rsidR="00266E95" w:rsidRDefault="00266E95" w:rsidP="00600785">
      <w:r>
        <w:separator/>
      </w:r>
    </w:p>
  </w:footnote>
  <w:footnote w:type="continuationSeparator" w:id="0">
    <w:p w14:paraId="4E04D9DD" w14:textId="77777777" w:rsidR="00266E95" w:rsidRDefault="00266E95" w:rsidP="0060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A8AC" w14:textId="18A99211" w:rsidR="00076F35" w:rsidRDefault="00076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2179" w14:textId="3C5546F4" w:rsidR="00076F35" w:rsidRDefault="00076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48A7" w14:textId="6E1437B2" w:rsidR="00076F35" w:rsidRDefault="00076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7A0"/>
    <w:multiLevelType w:val="hybridMultilevel"/>
    <w:tmpl w:val="7A4C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62E06"/>
    <w:multiLevelType w:val="hybridMultilevel"/>
    <w:tmpl w:val="BFDE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962CF"/>
    <w:multiLevelType w:val="hybridMultilevel"/>
    <w:tmpl w:val="2C34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2239B"/>
    <w:multiLevelType w:val="hybridMultilevel"/>
    <w:tmpl w:val="0B06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D4C3C"/>
    <w:multiLevelType w:val="hybridMultilevel"/>
    <w:tmpl w:val="CEEA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22075"/>
    <w:multiLevelType w:val="hybridMultilevel"/>
    <w:tmpl w:val="2624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A681B"/>
    <w:multiLevelType w:val="hybridMultilevel"/>
    <w:tmpl w:val="3EEA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24BFC"/>
    <w:multiLevelType w:val="hybridMultilevel"/>
    <w:tmpl w:val="6C428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75582"/>
    <w:multiLevelType w:val="hybridMultilevel"/>
    <w:tmpl w:val="4590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694C80"/>
    <w:multiLevelType w:val="hybridMultilevel"/>
    <w:tmpl w:val="1CF8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652620">
    <w:abstractNumId w:val="5"/>
  </w:num>
  <w:num w:numId="2" w16cid:durableId="233441592">
    <w:abstractNumId w:val="6"/>
  </w:num>
  <w:num w:numId="3" w16cid:durableId="883637916">
    <w:abstractNumId w:val="4"/>
  </w:num>
  <w:num w:numId="4" w16cid:durableId="709913093">
    <w:abstractNumId w:val="0"/>
  </w:num>
  <w:num w:numId="5" w16cid:durableId="139005081">
    <w:abstractNumId w:val="8"/>
  </w:num>
  <w:num w:numId="6" w16cid:durableId="1564485436">
    <w:abstractNumId w:val="2"/>
  </w:num>
  <w:num w:numId="7" w16cid:durableId="1308899172">
    <w:abstractNumId w:val="1"/>
  </w:num>
  <w:num w:numId="8" w16cid:durableId="667248936">
    <w:abstractNumId w:val="3"/>
  </w:num>
  <w:num w:numId="9" w16cid:durableId="426509548">
    <w:abstractNumId w:val="9"/>
  </w:num>
  <w:num w:numId="10" w16cid:durableId="36552295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8A"/>
    <w:rsid w:val="000046E7"/>
    <w:rsid w:val="000066CF"/>
    <w:rsid w:val="00014855"/>
    <w:rsid w:val="00021C1A"/>
    <w:rsid w:val="00041C4A"/>
    <w:rsid w:val="000578A1"/>
    <w:rsid w:val="000613DC"/>
    <w:rsid w:val="00062E46"/>
    <w:rsid w:val="000714B1"/>
    <w:rsid w:val="00073871"/>
    <w:rsid w:val="00076F35"/>
    <w:rsid w:val="00076F94"/>
    <w:rsid w:val="00084799"/>
    <w:rsid w:val="00087A70"/>
    <w:rsid w:val="00090142"/>
    <w:rsid w:val="000907A3"/>
    <w:rsid w:val="00094B2C"/>
    <w:rsid w:val="00094DE9"/>
    <w:rsid w:val="00096D38"/>
    <w:rsid w:val="00097455"/>
    <w:rsid w:val="000A0FDC"/>
    <w:rsid w:val="000A3A31"/>
    <w:rsid w:val="000A5CC7"/>
    <w:rsid w:val="000E0E9F"/>
    <w:rsid w:val="000E3D61"/>
    <w:rsid w:val="000F4F63"/>
    <w:rsid w:val="00102BA4"/>
    <w:rsid w:val="00105646"/>
    <w:rsid w:val="0011614A"/>
    <w:rsid w:val="0012200B"/>
    <w:rsid w:val="00124CE8"/>
    <w:rsid w:val="00133F5F"/>
    <w:rsid w:val="00140A1B"/>
    <w:rsid w:val="0014482C"/>
    <w:rsid w:val="00153049"/>
    <w:rsid w:val="00157137"/>
    <w:rsid w:val="0016758D"/>
    <w:rsid w:val="00167AF9"/>
    <w:rsid w:val="00176C55"/>
    <w:rsid w:val="00177906"/>
    <w:rsid w:val="001A518E"/>
    <w:rsid w:val="001A65A9"/>
    <w:rsid w:val="001A7413"/>
    <w:rsid w:val="001A7C25"/>
    <w:rsid w:val="001B1FC2"/>
    <w:rsid w:val="001B70FC"/>
    <w:rsid w:val="001D2C8A"/>
    <w:rsid w:val="001E12FA"/>
    <w:rsid w:val="001E79A6"/>
    <w:rsid w:val="001F1098"/>
    <w:rsid w:val="001F42EF"/>
    <w:rsid w:val="00201F31"/>
    <w:rsid w:val="00203CC6"/>
    <w:rsid w:val="002223E4"/>
    <w:rsid w:val="00227C7F"/>
    <w:rsid w:val="00246857"/>
    <w:rsid w:val="002515A9"/>
    <w:rsid w:val="00260CE4"/>
    <w:rsid w:val="00262E56"/>
    <w:rsid w:val="00263508"/>
    <w:rsid w:val="00263DFF"/>
    <w:rsid w:val="00264CE4"/>
    <w:rsid w:val="00266E95"/>
    <w:rsid w:val="00280461"/>
    <w:rsid w:val="00292C9F"/>
    <w:rsid w:val="00294687"/>
    <w:rsid w:val="002A327D"/>
    <w:rsid w:val="002A7D1E"/>
    <w:rsid w:val="002B237E"/>
    <w:rsid w:val="002D6DAE"/>
    <w:rsid w:val="002D7A57"/>
    <w:rsid w:val="002E0F8A"/>
    <w:rsid w:val="002E13E9"/>
    <w:rsid w:val="002E486E"/>
    <w:rsid w:val="002F24CB"/>
    <w:rsid w:val="002F3C0F"/>
    <w:rsid w:val="00300AE4"/>
    <w:rsid w:val="0030271A"/>
    <w:rsid w:val="003124E7"/>
    <w:rsid w:val="00326B37"/>
    <w:rsid w:val="00344477"/>
    <w:rsid w:val="00347BA3"/>
    <w:rsid w:val="00351890"/>
    <w:rsid w:val="0035349E"/>
    <w:rsid w:val="00355082"/>
    <w:rsid w:val="00357F70"/>
    <w:rsid w:val="00362A46"/>
    <w:rsid w:val="003636ED"/>
    <w:rsid w:val="00364BD2"/>
    <w:rsid w:val="00370ABB"/>
    <w:rsid w:val="003710DD"/>
    <w:rsid w:val="003947E5"/>
    <w:rsid w:val="00394CF4"/>
    <w:rsid w:val="003A5F91"/>
    <w:rsid w:val="003B05F8"/>
    <w:rsid w:val="003C633F"/>
    <w:rsid w:val="003C75EA"/>
    <w:rsid w:val="003D0503"/>
    <w:rsid w:val="003E5EAD"/>
    <w:rsid w:val="003E792B"/>
    <w:rsid w:val="003F10ED"/>
    <w:rsid w:val="003F38FC"/>
    <w:rsid w:val="0041619E"/>
    <w:rsid w:val="0042287E"/>
    <w:rsid w:val="0042380C"/>
    <w:rsid w:val="004254E5"/>
    <w:rsid w:val="00425CFD"/>
    <w:rsid w:val="0042738F"/>
    <w:rsid w:val="00441820"/>
    <w:rsid w:val="00442C68"/>
    <w:rsid w:val="004446CB"/>
    <w:rsid w:val="00455E9F"/>
    <w:rsid w:val="00457A65"/>
    <w:rsid w:val="0046038A"/>
    <w:rsid w:val="00461C67"/>
    <w:rsid w:val="00471BDC"/>
    <w:rsid w:val="00477054"/>
    <w:rsid w:val="004C0CEB"/>
    <w:rsid w:val="004C750D"/>
    <w:rsid w:val="004E3439"/>
    <w:rsid w:val="004F0122"/>
    <w:rsid w:val="004F037E"/>
    <w:rsid w:val="004F1E9A"/>
    <w:rsid w:val="004F4240"/>
    <w:rsid w:val="004F4E41"/>
    <w:rsid w:val="004F65E7"/>
    <w:rsid w:val="005152FA"/>
    <w:rsid w:val="00525EFD"/>
    <w:rsid w:val="00532B2D"/>
    <w:rsid w:val="00543215"/>
    <w:rsid w:val="00544578"/>
    <w:rsid w:val="005469BD"/>
    <w:rsid w:val="00547F3D"/>
    <w:rsid w:val="0055649D"/>
    <w:rsid w:val="0056601D"/>
    <w:rsid w:val="005746FC"/>
    <w:rsid w:val="005874C2"/>
    <w:rsid w:val="005917D3"/>
    <w:rsid w:val="005932B8"/>
    <w:rsid w:val="005A0AB8"/>
    <w:rsid w:val="005A14AB"/>
    <w:rsid w:val="005A691B"/>
    <w:rsid w:val="005B1F30"/>
    <w:rsid w:val="005C32BF"/>
    <w:rsid w:val="005C73E7"/>
    <w:rsid w:val="005D5F8F"/>
    <w:rsid w:val="005E2F2A"/>
    <w:rsid w:val="005E64DF"/>
    <w:rsid w:val="005F0A60"/>
    <w:rsid w:val="00600785"/>
    <w:rsid w:val="006077B7"/>
    <w:rsid w:val="00615F2D"/>
    <w:rsid w:val="00620136"/>
    <w:rsid w:val="006320F3"/>
    <w:rsid w:val="00635A91"/>
    <w:rsid w:val="00640867"/>
    <w:rsid w:val="00641F9B"/>
    <w:rsid w:val="0064436A"/>
    <w:rsid w:val="006533B0"/>
    <w:rsid w:val="00655B0D"/>
    <w:rsid w:val="00657694"/>
    <w:rsid w:val="00662A29"/>
    <w:rsid w:val="0066323C"/>
    <w:rsid w:val="006678B5"/>
    <w:rsid w:val="0067236B"/>
    <w:rsid w:val="0067293B"/>
    <w:rsid w:val="006816A5"/>
    <w:rsid w:val="00682E6D"/>
    <w:rsid w:val="0069307D"/>
    <w:rsid w:val="006A5DBB"/>
    <w:rsid w:val="006A6934"/>
    <w:rsid w:val="006B0D3F"/>
    <w:rsid w:val="006B20CC"/>
    <w:rsid w:val="006B3076"/>
    <w:rsid w:val="006B5136"/>
    <w:rsid w:val="006C7A46"/>
    <w:rsid w:val="006E15EC"/>
    <w:rsid w:val="006E7E0D"/>
    <w:rsid w:val="006F678F"/>
    <w:rsid w:val="006F7B48"/>
    <w:rsid w:val="00702C80"/>
    <w:rsid w:val="00703C04"/>
    <w:rsid w:val="00712D03"/>
    <w:rsid w:val="00713ADD"/>
    <w:rsid w:val="00720820"/>
    <w:rsid w:val="00745C5E"/>
    <w:rsid w:val="007601EB"/>
    <w:rsid w:val="00785FDC"/>
    <w:rsid w:val="007920C9"/>
    <w:rsid w:val="007952F4"/>
    <w:rsid w:val="00795C79"/>
    <w:rsid w:val="0079676D"/>
    <w:rsid w:val="007A4D37"/>
    <w:rsid w:val="007B450B"/>
    <w:rsid w:val="007B5C65"/>
    <w:rsid w:val="007B6292"/>
    <w:rsid w:val="007C1D9D"/>
    <w:rsid w:val="007C6140"/>
    <w:rsid w:val="007C64B5"/>
    <w:rsid w:val="007D15DD"/>
    <w:rsid w:val="007F0D3E"/>
    <w:rsid w:val="00806820"/>
    <w:rsid w:val="00816E27"/>
    <w:rsid w:val="00817562"/>
    <w:rsid w:val="008277CE"/>
    <w:rsid w:val="008277E6"/>
    <w:rsid w:val="008279F8"/>
    <w:rsid w:val="00837A02"/>
    <w:rsid w:val="00846F40"/>
    <w:rsid w:val="0085773C"/>
    <w:rsid w:val="0086041F"/>
    <w:rsid w:val="008621C0"/>
    <w:rsid w:val="008622AB"/>
    <w:rsid w:val="00873A0E"/>
    <w:rsid w:val="00883E41"/>
    <w:rsid w:val="00884B84"/>
    <w:rsid w:val="008875FD"/>
    <w:rsid w:val="00891922"/>
    <w:rsid w:val="00894A50"/>
    <w:rsid w:val="00895E2C"/>
    <w:rsid w:val="00896296"/>
    <w:rsid w:val="00896370"/>
    <w:rsid w:val="0089648A"/>
    <w:rsid w:val="008970AA"/>
    <w:rsid w:val="008A29A5"/>
    <w:rsid w:val="008C0224"/>
    <w:rsid w:val="008C1963"/>
    <w:rsid w:val="008C2F96"/>
    <w:rsid w:val="008C39A7"/>
    <w:rsid w:val="008C3D8A"/>
    <w:rsid w:val="008C7109"/>
    <w:rsid w:val="008D13A6"/>
    <w:rsid w:val="008D617C"/>
    <w:rsid w:val="008F110E"/>
    <w:rsid w:val="00900B03"/>
    <w:rsid w:val="00903B73"/>
    <w:rsid w:val="00906533"/>
    <w:rsid w:val="00910820"/>
    <w:rsid w:val="00914231"/>
    <w:rsid w:val="00920125"/>
    <w:rsid w:val="0092131B"/>
    <w:rsid w:val="00926F4E"/>
    <w:rsid w:val="00936D95"/>
    <w:rsid w:val="00936FF6"/>
    <w:rsid w:val="009400C4"/>
    <w:rsid w:val="00940432"/>
    <w:rsid w:val="00945F01"/>
    <w:rsid w:val="00952158"/>
    <w:rsid w:val="00956B8D"/>
    <w:rsid w:val="009579AE"/>
    <w:rsid w:val="00966594"/>
    <w:rsid w:val="00977950"/>
    <w:rsid w:val="00980FAE"/>
    <w:rsid w:val="009908AF"/>
    <w:rsid w:val="00990C6B"/>
    <w:rsid w:val="0099529B"/>
    <w:rsid w:val="009A5CF4"/>
    <w:rsid w:val="009A7E39"/>
    <w:rsid w:val="009B04FE"/>
    <w:rsid w:val="009B6B34"/>
    <w:rsid w:val="009C4578"/>
    <w:rsid w:val="009C52AA"/>
    <w:rsid w:val="009D3C16"/>
    <w:rsid w:val="009E3AB8"/>
    <w:rsid w:val="009E644E"/>
    <w:rsid w:val="009E7AC3"/>
    <w:rsid w:val="00A02497"/>
    <w:rsid w:val="00A0302A"/>
    <w:rsid w:val="00A06F16"/>
    <w:rsid w:val="00A142C0"/>
    <w:rsid w:val="00A26CA8"/>
    <w:rsid w:val="00A34FC8"/>
    <w:rsid w:val="00A352A4"/>
    <w:rsid w:val="00A36C5B"/>
    <w:rsid w:val="00A41A36"/>
    <w:rsid w:val="00A42C70"/>
    <w:rsid w:val="00A54740"/>
    <w:rsid w:val="00A54AD9"/>
    <w:rsid w:val="00A54EB9"/>
    <w:rsid w:val="00A56020"/>
    <w:rsid w:val="00A56D80"/>
    <w:rsid w:val="00A631CC"/>
    <w:rsid w:val="00A64E87"/>
    <w:rsid w:val="00A65A43"/>
    <w:rsid w:val="00A705A1"/>
    <w:rsid w:val="00A705D5"/>
    <w:rsid w:val="00A765D0"/>
    <w:rsid w:val="00A77E9A"/>
    <w:rsid w:val="00A81858"/>
    <w:rsid w:val="00A86131"/>
    <w:rsid w:val="00A871E1"/>
    <w:rsid w:val="00AA7407"/>
    <w:rsid w:val="00AB08F2"/>
    <w:rsid w:val="00AC1EE5"/>
    <w:rsid w:val="00AC3408"/>
    <w:rsid w:val="00AC602C"/>
    <w:rsid w:val="00AD7DB8"/>
    <w:rsid w:val="00AE26E9"/>
    <w:rsid w:val="00AE332D"/>
    <w:rsid w:val="00AE7D59"/>
    <w:rsid w:val="00AF26AC"/>
    <w:rsid w:val="00AF5AC7"/>
    <w:rsid w:val="00B03C18"/>
    <w:rsid w:val="00B0488A"/>
    <w:rsid w:val="00B06FFB"/>
    <w:rsid w:val="00B275C2"/>
    <w:rsid w:val="00B27726"/>
    <w:rsid w:val="00B3056D"/>
    <w:rsid w:val="00B31068"/>
    <w:rsid w:val="00B31F9A"/>
    <w:rsid w:val="00B35153"/>
    <w:rsid w:val="00B469FC"/>
    <w:rsid w:val="00B50B44"/>
    <w:rsid w:val="00B55159"/>
    <w:rsid w:val="00B55F22"/>
    <w:rsid w:val="00B579D7"/>
    <w:rsid w:val="00B75026"/>
    <w:rsid w:val="00B75BD6"/>
    <w:rsid w:val="00B8355B"/>
    <w:rsid w:val="00B84128"/>
    <w:rsid w:val="00B9037A"/>
    <w:rsid w:val="00B96A56"/>
    <w:rsid w:val="00BA0417"/>
    <w:rsid w:val="00BA7A82"/>
    <w:rsid w:val="00BB2919"/>
    <w:rsid w:val="00BB7A2C"/>
    <w:rsid w:val="00BC1375"/>
    <w:rsid w:val="00BC2A34"/>
    <w:rsid w:val="00BD0E44"/>
    <w:rsid w:val="00BE223A"/>
    <w:rsid w:val="00BE2EED"/>
    <w:rsid w:val="00C02E9F"/>
    <w:rsid w:val="00C06EC3"/>
    <w:rsid w:val="00C11D71"/>
    <w:rsid w:val="00C268EB"/>
    <w:rsid w:val="00C42CEC"/>
    <w:rsid w:val="00C52ACD"/>
    <w:rsid w:val="00C534B0"/>
    <w:rsid w:val="00C56152"/>
    <w:rsid w:val="00C7198F"/>
    <w:rsid w:val="00C838D6"/>
    <w:rsid w:val="00C84C22"/>
    <w:rsid w:val="00C85CCD"/>
    <w:rsid w:val="00CB01C1"/>
    <w:rsid w:val="00CB0EA0"/>
    <w:rsid w:val="00CC0DD9"/>
    <w:rsid w:val="00CD12FD"/>
    <w:rsid w:val="00CD46FF"/>
    <w:rsid w:val="00CE3343"/>
    <w:rsid w:val="00CF0C9F"/>
    <w:rsid w:val="00D00597"/>
    <w:rsid w:val="00D03E82"/>
    <w:rsid w:val="00D054B2"/>
    <w:rsid w:val="00D11C4D"/>
    <w:rsid w:val="00D12056"/>
    <w:rsid w:val="00D242CB"/>
    <w:rsid w:val="00D3014E"/>
    <w:rsid w:val="00D4039F"/>
    <w:rsid w:val="00D5271D"/>
    <w:rsid w:val="00D57061"/>
    <w:rsid w:val="00D6315E"/>
    <w:rsid w:val="00D63576"/>
    <w:rsid w:val="00D7215C"/>
    <w:rsid w:val="00D722CE"/>
    <w:rsid w:val="00D842D4"/>
    <w:rsid w:val="00D8525D"/>
    <w:rsid w:val="00D93D0C"/>
    <w:rsid w:val="00D97C79"/>
    <w:rsid w:val="00DA08CE"/>
    <w:rsid w:val="00DA4745"/>
    <w:rsid w:val="00DA542A"/>
    <w:rsid w:val="00DA6D10"/>
    <w:rsid w:val="00DA7D4A"/>
    <w:rsid w:val="00DB7BF4"/>
    <w:rsid w:val="00DC63CC"/>
    <w:rsid w:val="00DD0ED0"/>
    <w:rsid w:val="00DE2F07"/>
    <w:rsid w:val="00DE388D"/>
    <w:rsid w:val="00DE7E1A"/>
    <w:rsid w:val="00DF7D20"/>
    <w:rsid w:val="00E14B0F"/>
    <w:rsid w:val="00E2063C"/>
    <w:rsid w:val="00E231FE"/>
    <w:rsid w:val="00E23CDE"/>
    <w:rsid w:val="00E31DAC"/>
    <w:rsid w:val="00E326F0"/>
    <w:rsid w:val="00E34BB6"/>
    <w:rsid w:val="00E361DB"/>
    <w:rsid w:val="00E37275"/>
    <w:rsid w:val="00E42E1F"/>
    <w:rsid w:val="00E451B2"/>
    <w:rsid w:val="00E45511"/>
    <w:rsid w:val="00E53A27"/>
    <w:rsid w:val="00E570E7"/>
    <w:rsid w:val="00E6348C"/>
    <w:rsid w:val="00E64C84"/>
    <w:rsid w:val="00E66AC1"/>
    <w:rsid w:val="00E67A1E"/>
    <w:rsid w:val="00E67AD4"/>
    <w:rsid w:val="00E716E8"/>
    <w:rsid w:val="00E71B44"/>
    <w:rsid w:val="00E738CE"/>
    <w:rsid w:val="00E957A3"/>
    <w:rsid w:val="00EA1339"/>
    <w:rsid w:val="00EA29A0"/>
    <w:rsid w:val="00EA481F"/>
    <w:rsid w:val="00EA7BDB"/>
    <w:rsid w:val="00EC2961"/>
    <w:rsid w:val="00EC7AD6"/>
    <w:rsid w:val="00ED7181"/>
    <w:rsid w:val="00EE0026"/>
    <w:rsid w:val="00EE00B6"/>
    <w:rsid w:val="00EE26E9"/>
    <w:rsid w:val="00EE30D2"/>
    <w:rsid w:val="00EE7D2B"/>
    <w:rsid w:val="00F0496D"/>
    <w:rsid w:val="00F10A54"/>
    <w:rsid w:val="00F2143C"/>
    <w:rsid w:val="00F225FE"/>
    <w:rsid w:val="00F27A64"/>
    <w:rsid w:val="00F300B7"/>
    <w:rsid w:val="00F3398F"/>
    <w:rsid w:val="00F42267"/>
    <w:rsid w:val="00F464B7"/>
    <w:rsid w:val="00F51FE1"/>
    <w:rsid w:val="00F52F2C"/>
    <w:rsid w:val="00F55517"/>
    <w:rsid w:val="00F57DEE"/>
    <w:rsid w:val="00F62BBB"/>
    <w:rsid w:val="00F65009"/>
    <w:rsid w:val="00F65ABF"/>
    <w:rsid w:val="00F67DCE"/>
    <w:rsid w:val="00F74187"/>
    <w:rsid w:val="00F7704F"/>
    <w:rsid w:val="00F82CC9"/>
    <w:rsid w:val="00F83FD0"/>
    <w:rsid w:val="00F917D6"/>
    <w:rsid w:val="00F9469E"/>
    <w:rsid w:val="00F958DF"/>
    <w:rsid w:val="00FA6984"/>
    <w:rsid w:val="00FB258A"/>
    <w:rsid w:val="00FC62E1"/>
    <w:rsid w:val="00FD3AFD"/>
    <w:rsid w:val="00FE0644"/>
    <w:rsid w:val="00FE3D19"/>
    <w:rsid w:val="00FE66E6"/>
    <w:rsid w:val="00FF1398"/>
    <w:rsid w:val="00FF5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65B34"/>
  <w15:chartTrackingRefBased/>
  <w15:docId w15:val="{BC5D0E7A-3103-419B-B327-4BAE3E8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158"/>
    <w:rPr>
      <w:rFonts w:ascii="Arial" w:hAnsi="Arial" w:cs="Arial"/>
      <w:sz w:val="24"/>
      <w:szCs w:val="24"/>
    </w:rPr>
  </w:style>
  <w:style w:type="paragraph" w:styleId="Heading2">
    <w:name w:val="heading 2"/>
    <w:basedOn w:val="Normal"/>
    <w:next w:val="BodyText"/>
    <w:link w:val="Heading2Char"/>
    <w:uiPriority w:val="9"/>
    <w:qFormat/>
    <w:rsid w:val="00EE7D2B"/>
    <w:pPr>
      <w:keepNext/>
      <w:keepLines/>
      <w:spacing w:before="60" w:after="280"/>
      <w:outlineLvl w:val="1"/>
    </w:pPr>
    <w:rPr>
      <w:rFonts w:eastAsiaTheme="majorEastAsia" w:cstheme="majorBidi"/>
      <w:color w:val="005EB8"/>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1D2C8A"/>
    <w:pPr>
      <w:spacing w:after="160" w:line="240" w:lineRule="exact"/>
    </w:pPr>
    <w:rPr>
      <w:rFonts w:ascii="Tahoma" w:hAnsi="Tahoma" w:cs="Times New Roman"/>
      <w:sz w:val="20"/>
      <w:szCs w:val="20"/>
      <w:lang w:val="en-US" w:eastAsia="en-US"/>
    </w:rPr>
  </w:style>
  <w:style w:type="paragraph" w:customStyle="1" w:styleId="Default">
    <w:name w:val="Default"/>
    <w:rsid w:val="00441820"/>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rsid w:val="00600785"/>
    <w:pPr>
      <w:tabs>
        <w:tab w:val="center" w:pos="4680"/>
        <w:tab w:val="right" w:pos="9360"/>
      </w:tabs>
    </w:pPr>
    <w:rPr>
      <w:rFonts w:cs="Times New Roman"/>
    </w:rPr>
  </w:style>
  <w:style w:type="character" w:customStyle="1" w:styleId="HeaderChar">
    <w:name w:val="Header Char"/>
    <w:link w:val="Header"/>
    <w:uiPriority w:val="99"/>
    <w:rsid w:val="00600785"/>
    <w:rPr>
      <w:rFonts w:ascii="Arial" w:hAnsi="Arial" w:cs="Arial"/>
      <w:sz w:val="24"/>
      <w:szCs w:val="24"/>
      <w:lang w:val="en-GB" w:eastAsia="en-GB"/>
    </w:rPr>
  </w:style>
  <w:style w:type="paragraph" w:styleId="Footer">
    <w:name w:val="footer"/>
    <w:basedOn w:val="Normal"/>
    <w:link w:val="FooterChar"/>
    <w:uiPriority w:val="99"/>
    <w:rsid w:val="00600785"/>
    <w:pPr>
      <w:tabs>
        <w:tab w:val="center" w:pos="4680"/>
        <w:tab w:val="right" w:pos="9360"/>
      </w:tabs>
    </w:pPr>
    <w:rPr>
      <w:rFonts w:cs="Times New Roman"/>
    </w:rPr>
  </w:style>
  <w:style w:type="character" w:customStyle="1" w:styleId="FooterChar">
    <w:name w:val="Footer Char"/>
    <w:link w:val="Footer"/>
    <w:uiPriority w:val="99"/>
    <w:rsid w:val="00600785"/>
    <w:rPr>
      <w:rFonts w:ascii="Arial" w:hAnsi="Arial" w:cs="Arial"/>
      <w:sz w:val="24"/>
      <w:szCs w:val="24"/>
      <w:lang w:val="en-GB" w:eastAsia="en-GB"/>
    </w:rPr>
  </w:style>
  <w:style w:type="table" w:styleId="TableGrid">
    <w:name w:val="Table Grid"/>
    <w:basedOn w:val="TableNormal"/>
    <w:uiPriority w:val="39"/>
    <w:rsid w:val="00062E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itemblock4">
    <w:name w:val="textitemblock4"/>
    <w:rsid w:val="00E71B44"/>
  </w:style>
  <w:style w:type="paragraph" w:styleId="ListParagraph">
    <w:name w:val="List Paragraph"/>
    <w:basedOn w:val="Normal"/>
    <w:uiPriority w:val="34"/>
    <w:qFormat/>
    <w:rsid w:val="00DE2F07"/>
    <w:pPr>
      <w:spacing w:after="200" w:line="276" w:lineRule="auto"/>
      <w:ind w:left="720"/>
      <w:contextualSpacing/>
    </w:pPr>
    <w:rPr>
      <w:rFonts w:ascii="Calibri" w:eastAsia="Calibri" w:hAnsi="Calibri" w:cs="Times New Roman"/>
      <w:sz w:val="22"/>
      <w:szCs w:val="22"/>
      <w:lang w:eastAsia="en-US"/>
    </w:rPr>
  </w:style>
  <w:style w:type="character" w:styleId="Strong">
    <w:name w:val="Strong"/>
    <w:uiPriority w:val="22"/>
    <w:qFormat/>
    <w:rsid w:val="00A871E1"/>
    <w:rPr>
      <w:b/>
      <w:bCs/>
    </w:rPr>
  </w:style>
  <w:style w:type="paragraph" w:styleId="NormalWeb">
    <w:name w:val="Normal (Web)"/>
    <w:basedOn w:val="Normal"/>
    <w:uiPriority w:val="99"/>
    <w:unhideWhenUsed/>
    <w:rsid w:val="00A871E1"/>
    <w:pPr>
      <w:spacing w:before="100" w:beforeAutospacing="1" w:after="100" w:afterAutospacing="1"/>
    </w:pPr>
    <w:rPr>
      <w:rFonts w:ascii="Times New Roman" w:hAnsi="Times New Roman" w:cs="Times New Roman"/>
    </w:rPr>
  </w:style>
  <w:style w:type="character" w:styleId="Hyperlink">
    <w:name w:val="Hyperlink"/>
    <w:rsid w:val="00AC602C"/>
    <w:rPr>
      <w:color w:val="0000FF"/>
      <w:u w:val="single"/>
    </w:rPr>
  </w:style>
  <w:style w:type="paragraph" w:customStyle="1" w:styleId="Style1">
    <w:name w:val="Style 1"/>
    <w:basedOn w:val="Normal"/>
    <w:uiPriority w:val="99"/>
    <w:rsid w:val="00EA1339"/>
    <w:pPr>
      <w:widowControl w:val="0"/>
      <w:autoSpaceDE w:val="0"/>
      <w:autoSpaceDN w:val="0"/>
      <w:adjustRightInd w:val="0"/>
    </w:pPr>
    <w:rPr>
      <w:rFonts w:ascii="Times New Roman" w:hAnsi="Times New Roman" w:cs="Times New Roman"/>
      <w:sz w:val="20"/>
      <w:szCs w:val="20"/>
      <w:lang w:val="en-US"/>
    </w:rPr>
  </w:style>
  <w:style w:type="character" w:customStyle="1" w:styleId="A5">
    <w:name w:val="A5"/>
    <w:uiPriority w:val="99"/>
    <w:rsid w:val="00AE7D59"/>
    <w:rPr>
      <w:rFonts w:cs="Frutiger LT Std 45 Light"/>
      <w:color w:val="000000"/>
      <w:sz w:val="22"/>
      <w:szCs w:val="22"/>
    </w:rPr>
  </w:style>
  <w:style w:type="paragraph" w:customStyle="1" w:styleId="NormalItalics">
    <w:name w:val="Normal + Italics"/>
    <w:basedOn w:val="Normal"/>
    <w:link w:val="NormalItalicsChar"/>
    <w:rsid w:val="00D5271D"/>
    <w:rPr>
      <w:rFonts w:cs="Times New Roman"/>
      <w:i/>
      <w:lang w:val="x-none" w:eastAsia="x-none"/>
    </w:rPr>
  </w:style>
  <w:style w:type="character" w:customStyle="1" w:styleId="NormalItalicsChar">
    <w:name w:val="Normal + Italics Char"/>
    <w:link w:val="NormalItalics"/>
    <w:rsid w:val="00D5271D"/>
    <w:rPr>
      <w:rFonts w:ascii="Arial" w:hAnsi="Arial"/>
      <w:i/>
      <w:sz w:val="24"/>
      <w:szCs w:val="24"/>
      <w:lang w:val="x-none" w:eastAsia="x-none"/>
    </w:rPr>
  </w:style>
  <w:style w:type="paragraph" w:styleId="NoSpacing">
    <w:name w:val="No Spacing"/>
    <w:uiPriority w:val="1"/>
    <w:qFormat/>
    <w:rsid w:val="00DA542A"/>
    <w:rPr>
      <w:rFonts w:ascii="Calibri" w:eastAsia="Calibri" w:hAnsi="Calibri"/>
      <w:sz w:val="22"/>
      <w:szCs w:val="22"/>
      <w:lang w:eastAsia="en-US"/>
    </w:rPr>
  </w:style>
  <w:style w:type="character" w:styleId="CommentReference">
    <w:name w:val="annotation reference"/>
    <w:rsid w:val="003947E5"/>
    <w:rPr>
      <w:sz w:val="16"/>
      <w:szCs w:val="16"/>
    </w:rPr>
  </w:style>
  <w:style w:type="paragraph" w:styleId="CommentText">
    <w:name w:val="annotation text"/>
    <w:basedOn w:val="Normal"/>
    <w:link w:val="CommentTextChar"/>
    <w:rsid w:val="003947E5"/>
    <w:rPr>
      <w:sz w:val="20"/>
      <w:szCs w:val="20"/>
    </w:rPr>
  </w:style>
  <w:style w:type="character" w:customStyle="1" w:styleId="CommentTextChar">
    <w:name w:val="Comment Text Char"/>
    <w:link w:val="CommentText"/>
    <w:rsid w:val="003947E5"/>
    <w:rPr>
      <w:rFonts w:ascii="Arial" w:hAnsi="Arial" w:cs="Arial"/>
    </w:rPr>
  </w:style>
  <w:style w:type="paragraph" w:styleId="CommentSubject">
    <w:name w:val="annotation subject"/>
    <w:basedOn w:val="CommentText"/>
    <w:next w:val="CommentText"/>
    <w:link w:val="CommentSubjectChar"/>
    <w:rsid w:val="003947E5"/>
    <w:rPr>
      <w:b/>
      <w:bCs/>
    </w:rPr>
  </w:style>
  <w:style w:type="character" w:customStyle="1" w:styleId="CommentSubjectChar">
    <w:name w:val="Comment Subject Char"/>
    <w:link w:val="CommentSubject"/>
    <w:rsid w:val="003947E5"/>
    <w:rPr>
      <w:rFonts w:ascii="Arial" w:hAnsi="Arial" w:cs="Arial"/>
      <w:b/>
      <w:bCs/>
    </w:rPr>
  </w:style>
  <w:style w:type="table" w:styleId="TableContemporary">
    <w:name w:val="Table Contemporary"/>
    <w:basedOn w:val="TableNormal"/>
    <w:rsid w:val="00D03E8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2Char">
    <w:name w:val="Heading 2 Char"/>
    <w:basedOn w:val="DefaultParagraphFont"/>
    <w:link w:val="Heading2"/>
    <w:uiPriority w:val="9"/>
    <w:rsid w:val="00EE7D2B"/>
    <w:rPr>
      <w:rFonts w:ascii="Arial" w:eastAsiaTheme="majorEastAsia" w:hAnsi="Arial" w:cstheme="majorBidi"/>
      <w:color w:val="005EB8"/>
      <w:sz w:val="36"/>
      <w:szCs w:val="26"/>
      <w:lang w:eastAsia="en-US"/>
    </w:rPr>
  </w:style>
  <w:style w:type="paragraph" w:customStyle="1" w:styleId="TableText">
    <w:name w:val="Table Text"/>
    <w:basedOn w:val="Normal"/>
    <w:uiPriority w:val="17"/>
    <w:qFormat/>
    <w:rsid w:val="00EE7D2B"/>
    <w:rPr>
      <w:rFonts w:eastAsiaTheme="minorHAnsi" w:cstheme="minorBidi"/>
      <w:color w:val="231F20"/>
      <w:lang w:eastAsia="en-US"/>
    </w:rPr>
  </w:style>
  <w:style w:type="paragraph" w:styleId="BodyText">
    <w:name w:val="Body Text"/>
    <w:basedOn w:val="Normal"/>
    <w:link w:val="BodyTextChar"/>
    <w:rsid w:val="00EE7D2B"/>
    <w:pPr>
      <w:spacing w:after="120"/>
    </w:pPr>
  </w:style>
  <w:style w:type="character" w:customStyle="1" w:styleId="BodyTextChar">
    <w:name w:val="Body Text Char"/>
    <w:basedOn w:val="DefaultParagraphFont"/>
    <w:link w:val="BodyText"/>
    <w:rsid w:val="00EE7D2B"/>
    <w:rPr>
      <w:rFonts w:ascii="Arial" w:hAnsi="Arial" w:cs="Arial"/>
      <w:sz w:val="24"/>
      <w:szCs w:val="24"/>
    </w:rPr>
  </w:style>
  <w:style w:type="character" w:styleId="FollowedHyperlink">
    <w:name w:val="FollowedHyperlink"/>
    <w:basedOn w:val="DefaultParagraphFont"/>
    <w:rsid w:val="0071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084">
      <w:bodyDiv w:val="1"/>
      <w:marLeft w:val="0"/>
      <w:marRight w:val="0"/>
      <w:marTop w:val="0"/>
      <w:marBottom w:val="0"/>
      <w:divBdr>
        <w:top w:val="none" w:sz="0" w:space="0" w:color="auto"/>
        <w:left w:val="none" w:sz="0" w:space="0" w:color="auto"/>
        <w:bottom w:val="none" w:sz="0" w:space="0" w:color="auto"/>
        <w:right w:val="none" w:sz="0" w:space="0" w:color="auto"/>
      </w:divBdr>
      <w:divsChild>
        <w:div w:id="264463961">
          <w:marLeft w:val="0"/>
          <w:marRight w:val="0"/>
          <w:marTop w:val="0"/>
          <w:marBottom w:val="0"/>
          <w:divBdr>
            <w:top w:val="none" w:sz="0" w:space="0" w:color="auto"/>
            <w:left w:val="none" w:sz="0" w:space="0" w:color="auto"/>
            <w:bottom w:val="none" w:sz="0" w:space="0" w:color="auto"/>
            <w:right w:val="none" w:sz="0" w:space="0" w:color="auto"/>
          </w:divBdr>
        </w:div>
      </w:divsChild>
    </w:div>
    <w:div w:id="180702487">
      <w:bodyDiv w:val="1"/>
      <w:marLeft w:val="0"/>
      <w:marRight w:val="0"/>
      <w:marTop w:val="0"/>
      <w:marBottom w:val="0"/>
      <w:divBdr>
        <w:top w:val="none" w:sz="0" w:space="0" w:color="auto"/>
        <w:left w:val="none" w:sz="0" w:space="0" w:color="auto"/>
        <w:bottom w:val="none" w:sz="0" w:space="0" w:color="auto"/>
        <w:right w:val="none" w:sz="0" w:space="0" w:color="auto"/>
      </w:divBdr>
      <w:divsChild>
        <w:div w:id="643198467">
          <w:marLeft w:val="0"/>
          <w:marRight w:val="0"/>
          <w:marTop w:val="0"/>
          <w:marBottom w:val="0"/>
          <w:divBdr>
            <w:top w:val="none" w:sz="0" w:space="0" w:color="auto"/>
            <w:left w:val="none" w:sz="0" w:space="0" w:color="auto"/>
            <w:bottom w:val="none" w:sz="0" w:space="0" w:color="auto"/>
            <w:right w:val="none" w:sz="0" w:space="0" w:color="auto"/>
          </w:divBdr>
          <w:divsChild>
            <w:div w:id="1511598491">
              <w:marLeft w:val="0"/>
              <w:marRight w:val="0"/>
              <w:marTop w:val="0"/>
              <w:marBottom w:val="0"/>
              <w:divBdr>
                <w:top w:val="none" w:sz="0" w:space="0" w:color="auto"/>
                <w:left w:val="none" w:sz="0" w:space="0" w:color="auto"/>
                <w:bottom w:val="none" w:sz="0" w:space="0" w:color="auto"/>
                <w:right w:val="none" w:sz="0" w:space="0" w:color="auto"/>
              </w:divBdr>
              <w:divsChild>
                <w:div w:id="753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6119">
      <w:bodyDiv w:val="1"/>
      <w:marLeft w:val="0"/>
      <w:marRight w:val="0"/>
      <w:marTop w:val="0"/>
      <w:marBottom w:val="0"/>
      <w:divBdr>
        <w:top w:val="none" w:sz="0" w:space="0" w:color="auto"/>
        <w:left w:val="none" w:sz="0" w:space="0" w:color="auto"/>
        <w:bottom w:val="none" w:sz="0" w:space="0" w:color="auto"/>
        <w:right w:val="none" w:sz="0" w:space="0" w:color="auto"/>
      </w:divBdr>
      <w:divsChild>
        <w:div w:id="821700661">
          <w:marLeft w:val="0"/>
          <w:marRight w:val="0"/>
          <w:marTop w:val="0"/>
          <w:marBottom w:val="0"/>
          <w:divBdr>
            <w:top w:val="none" w:sz="0" w:space="0" w:color="auto"/>
            <w:left w:val="none" w:sz="0" w:space="0" w:color="auto"/>
            <w:bottom w:val="none" w:sz="0" w:space="0" w:color="auto"/>
            <w:right w:val="none" w:sz="0" w:space="0" w:color="auto"/>
          </w:divBdr>
          <w:divsChild>
            <w:div w:id="999770996">
              <w:marLeft w:val="-7470"/>
              <w:marRight w:val="0"/>
              <w:marTop w:val="0"/>
              <w:marBottom w:val="0"/>
              <w:divBdr>
                <w:top w:val="none" w:sz="0" w:space="0" w:color="auto"/>
                <w:left w:val="none" w:sz="0" w:space="0" w:color="auto"/>
                <w:bottom w:val="none" w:sz="0" w:space="0" w:color="auto"/>
                <w:right w:val="none" w:sz="0" w:space="0" w:color="auto"/>
              </w:divBdr>
              <w:divsChild>
                <w:div w:id="1833527638">
                  <w:marLeft w:val="210"/>
                  <w:marRight w:val="375"/>
                  <w:marTop w:val="75"/>
                  <w:marBottom w:val="0"/>
                  <w:divBdr>
                    <w:top w:val="none" w:sz="0" w:space="0" w:color="auto"/>
                    <w:left w:val="none" w:sz="0" w:space="0" w:color="auto"/>
                    <w:bottom w:val="none" w:sz="0" w:space="0" w:color="auto"/>
                    <w:right w:val="none" w:sz="0" w:space="0" w:color="auto"/>
                  </w:divBdr>
                </w:div>
              </w:divsChild>
            </w:div>
          </w:divsChild>
        </w:div>
      </w:divsChild>
    </w:div>
    <w:div w:id="635255961">
      <w:bodyDiv w:val="1"/>
      <w:marLeft w:val="0"/>
      <w:marRight w:val="0"/>
      <w:marTop w:val="0"/>
      <w:marBottom w:val="0"/>
      <w:divBdr>
        <w:top w:val="none" w:sz="0" w:space="0" w:color="auto"/>
        <w:left w:val="none" w:sz="0" w:space="0" w:color="auto"/>
        <w:bottom w:val="none" w:sz="0" w:space="0" w:color="auto"/>
        <w:right w:val="none" w:sz="0" w:space="0" w:color="auto"/>
      </w:divBdr>
      <w:divsChild>
        <w:div w:id="1000153982">
          <w:marLeft w:val="0"/>
          <w:marRight w:val="0"/>
          <w:marTop w:val="0"/>
          <w:marBottom w:val="0"/>
          <w:divBdr>
            <w:top w:val="none" w:sz="0" w:space="0" w:color="auto"/>
            <w:left w:val="none" w:sz="0" w:space="0" w:color="auto"/>
            <w:bottom w:val="none" w:sz="0" w:space="0" w:color="auto"/>
            <w:right w:val="none" w:sz="0" w:space="0" w:color="auto"/>
          </w:divBdr>
          <w:divsChild>
            <w:div w:id="2134640145">
              <w:marLeft w:val="-7470"/>
              <w:marRight w:val="0"/>
              <w:marTop w:val="0"/>
              <w:marBottom w:val="0"/>
              <w:divBdr>
                <w:top w:val="none" w:sz="0" w:space="0" w:color="auto"/>
                <w:left w:val="none" w:sz="0" w:space="0" w:color="auto"/>
                <w:bottom w:val="none" w:sz="0" w:space="0" w:color="auto"/>
                <w:right w:val="none" w:sz="0" w:space="0" w:color="auto"/>
              </w:divBdr>
              <w:divsChild>
                <w:div w:id="1970816458">
                  <w:marLeft w:val="210"/>
                  <w:marRight w:val="375"/>
                  <w:marTop w:val="75"/>
                  <w:marBottom w:val="0"/>
                  <w:divBdr>
                    <w:top w:val="none" w:sz="0" w:space="0" w:color="auto"/>
                    <w:left w:val="none" w:sz="0" w:space="0" w:color="auto"/>
                    <w:bottom w:val="none" w:sz="0" w:space="0" w:color="auto"/>
                    <w:right w:val="none" w:sz="0" w:space="0" w:color="auto"/>
                  </w:divBdr>
                </w:div>
              </w:divsChild>
            </w:div>
          </w:divsChild>
        </w:div>
      </w:divsChild>
    </w:div>
    <w:div w:id="719405897">
      <w:bodyDiv w:val="1"/>
      <w:marLeft w:val="0"/>
      <w:marRight w:val="0"/>
      <w:marTop w:val="0"/>
      <w:marBottom w:val="0"/>
      <w:divBdr>
        <w:top w:val="none" w:sz="0" w:space="0" w:color="auto"/>
        <w:left w:val="none" w:sz="0" w:space="0" w:color="auto"/>
        <w:bottom w:val="none" w:sz="0" w:space="0" w:color="auto"/>
        <w:right w:val="none" w:sz="0" w:space="0" w:color="auto"/>
      </w:divBdr>
    </w:div>
    <w:div w:id="729229510">
      <w:bodyDiv w:val="1"/>
      <w:marLeft w:val="0"/>
      <w:marRight w:val="0"/>
      <w:marTop w:val="0"/>
      <w:marBottom w:val="0"/>
      <w:divBdr>
        <w:top w:val="none" w:sz="0" w:space="0" w:color="auto"/>
        <w:left w:val="none" w:sz="0" w:space="0" w:color="auto"/>
        <w:bottom w:val="none" w:sz="0" w:space="0" w:color="auto"/>
        <w:right w:val="none" w:sz="0" w:space="0" w:color="auto"/>
      </w:divBdr>
      <w:divsChild>
        <w:div w:id="977809029">
          <w:marLeft w:val="0"/>
          <w:marRight w:val="0"/>
          <w:marTop w:val="0"/>
          <w:marBottom w:val="0"/>
          <w:divBdr>
            <w:top w:val="none" w:sz="0" w:space="0" w:color="auto"/>
            <w:left w:val="none" w:sz="0" w:space="0" w:color="auto"/>
            <w:bottom w:val="none" w:sz="0" w:space="0" w:color="auto"/>
            <w:right w:val="none" w:sz="0" w:space="0" w:color="auto"/>
          </w:divBdr>
        </w:div>
      </w:divsChild>
    </w:div>
    <w:div w:id="11549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ranet.leedsth.nhs.uk/departments/human-resources-hr/staff-health-wellbeing-support/ltht-staff-support-services/pastoral-care-chaplaincy-suppor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ranet.leedsth.nhs.uk/departments/human-resources-hr/staff-health-wellbeing-support/ltht-staff-support-services/occupational-healt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leedsth.nhs.uk/departments/human-resources-hr/staff-health-wellbeing-support/ltht-staff-support-services/mental-health-first-aid/internal/return-to-the-workplace-counselling-service-for-staff-who-have-been-shielding-due-to-covid-1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tranet.leedsth.nhs.uk/departments/human-resources-hr/staff-health-wellbeing-support/staff-mental-wellbeing/care-first-employee-assistance-programme-ea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ngland.nhs.uk/wp-content/uploads/2022/08/EDS-2022-ratings-and-score-card-guidance-v2.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53752-7DDE-496C-83C6-3B2545E3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Equality Delivery System - Goals and Outcomes</vt:lpstr>
    </vt:vector>
  </TitlesOfParts>
  <Company>BHIS</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Delivery System - Goals and Outcomes</dc:title>
  <dc:subject/>
  <dc:creator>carterl3</dc:creator>
  <cp:keywords/>
  <cp:lastModifiedBy>JUDGE, Emma (LEEDS TEACHING HOSPITALS NHS TRUST)</cp:lastModifiedBy>
  <cp:revision>2</cp:revision>
  <cp:lastPrinted>2013-11-14T11:19:00Z</cp:lastPrinted>
  <dcterms:created xsi:type="dcterms:W3CDTF">2024-02-22T15:07:00Z</dcterms:created>
  <dcterms:modified xsi:type="dcterms:W3CDTF">2024-02-22T15:07:00Z</dcterms:modified>
</cp:coreProperties>
</file>