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DBBD5" w14:textId="77777777" w:rsidR="00E118D6" w:rsidRDefault="00E118D6" w:rsidP="00E118D6">
      <w:pPr>
        <w:autoSpaceDE w:val="0"/>
        <w:autoSpaceDN w:val="0"/>
        <w:adjustRightInd w:val="0"/>
        <w:rPr>
          <w:rFonts w:cs="Arial"/>
          <w:color w:val="000000"/>
          <w:sz w:val="33"/>
          <w:szCs w:val="33"/>
        </w:rPr>
      </w:pPr>
    </w:p>
    <w:p w14:paraId="27FBDEEE" w14:textId="77777777" w:rsidR="00952608" w:rsidRDefault="006036D7" w:rsidP="00E118D6">
      <w:r>
        <w:rPr>
          <w:noProof/>
          <w:lang w:eastAsia="en-GB"/>
        </w:rPr>
        <w:drawing>
          <wp:inline distT="0" distB="0" distL="0" distR="0" wp14:anchorId="41A190CE" wp14:editId="6E3D0873">
            <wp:extent cx="876300" cy="6480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502348"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76967" cy="648561"/>
                    </a:xfrm>
                    <a:prstGeom prst="rect">
                      <a:avLst/>
                    </a:prstGeom>
                    <a:noFill/>
                    <a:ln>
                      <a:noFill/>
                    </a:ln>
                  </pic:spPr>
                </pic:pic>
              </a:graphicData>
            </a:graphic>
          </wp:inline>
        </w:drawing>
      </w:r>
      <w:r>
        <w:rPr>
          <w:noProof/>
          <w:lang w:eastAsia="en-GB"/>
        </w:rPr>
        <w:drawing>
          <wp:inline distT="0" distB="0" distL="0" distR="0" wp14:anchorId="367A06E9" wp14:editId="0267D81D">
            <wp:extent cx="4048125" cy="571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568664"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048125" cy="571500"/>
                    </a:xfrm>
                    <a:prstGeom prst="rect">
                      <a:avLst/>
                    </a:prstGeom>
                    <a:noFill/>
                    <a:ln>
                      <a:noFill/>
                    </a:ln>
                  </pic:spPr>
                </pic:pic>
              </a:graphicData>
            </a:graphic>
          </wp:inline>
        </w:drawing>
      </w:r>
    </w:p>
    <w:p w14:paraId="04A41BEB" w14:textId="77777777" w:rsidR="00DF5A90" w:rsidRDefault="006036D7" w:rsidP="00E118D6">
      <w:pPr>
        <w:rPr>
          <w:b/>
          <w:bCs/>
          <w:sz w:val="36"/>
          <w:szCs w:val="36"/>
        </w:rPr>
      </w:pPr>
      <w:r>
        <w:rPr>
          <w:b/>
          <w:bCs/>
          <w:sz w:val="44"/>
          <w:szCs w:val="44"/>
        </w:rPr>
        <w:t xml:space="preserve">Mycology Reference Centre, Leeds </w:t>
      </w:r>
      <w:r>
        <w:rPr>
          <w:b/>
          <w:bCs/>
          <w:sz w:val="36"/>
          <w:szCs w:val="36"/>
        </w:rPr>
        <w:t>Informa</w:t>
      </w:r>
      <w:r w:rsidR="00F14340">
        <w:rPr>
          <w:b/>
          <w:bCs/>
          <w:sz w:val="36"/>
          <w:szCs w:val="36"/>
        </w:rPr>
        <w:t xml:space="preserve">tion for Service Users </w:t>
      </w:r>
      <w:r w:rsidR="00186D79">
        <w:rPr>
          <w:b/>
          <w:bCs/>
          <w:sz w:val="36"/>
          <w:szCs w:val="36"/>
        </w:rPr>
        <w:t>2022</w:t>
      </w:r>
    </w:p>
    <w:p w14:paraId="26CFB67A" w14:textId="77777777" w:rsidR="00E118D6" w:rsidRDefault="00E118D6" w:rsidP="00E118D6">
      <w:pPr>
        <w:rPr>
          <w:b/>
          <w:bCs/>
          <w:sz w:val="36"/>
          <w:szCs w:val="36"/>
        </w:rPr>
      </w:pPr>
    </w:p>
    <w:p w14:paraId="09983154" w14:textId="77777777" w:rsidR="00E118D6" w:rsidRDefault="00E118D6" w:rsidP="00E118D6">
      <w:pPr>
        <w:pStyle w:val="Default"/>
        <w:sectPr w:rsidR="00E118D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2EA9102D" w14:textId="77777777" w:rsidR="00E118D6" w:rsidRDefault="006036D7" w:rsidP="00E118D6">
      <w:pPr>
        <w:pStyle w:val="Default"/>
        <w:rPr>
          <w:sz w:val="22"/>
          <w:szCs w:val="22"/>
        </w:rPr>
      </w:pPr>
      <w:r>
        <w:rPr>
          <w:b/>
          <w:bCs/>
          <w:sz w:val="22"/>
          <w:szCs w:val="22"/>
        </w:rPr>
        <w:t xml:space="preserve">Contents </w:t>
      </w:r>
    </w:p>
    <w:p w14:paraId="26DE4BB7" w14:textId="77777777" w:rsidR="00E118D6" w:rsidRDefault="006036D7" w:rsidP="00E118D6">
      <w:pPr>
        <w:pStyle w:val="Default"/>
        <w:rPr>
          <w:rFonts w:ascii="Arial" w:hAnsi="Arial" w:cs="Arial"/>
          <w:sz w:val="23"/>
          <w:szCs w:val="23"/>
        </w:rPr>
      </w:pPr>
      <w:r>
        <w:rPr>
          <w:sz w:val="23"/>
          <w:szCs w:val="23"/>
        </w:rPr>
        <w:t>Contents</w:t>
      </w:r>
      <w:r>
        <w:rPr>
          <w:rFonts w:ascii="Arial" w:hAnsi="Arial" w:cs="Arial"/>
          <w:sz w:val="23"/>
          <w:szCs w:val="23"/>
        </w:rPr>
        <w:t>.................</w:t>
      </w:r>
      <w:r w:rsidR="00021543">
        <w:rPr>
          <w:rFonts w:ascii="Arial" w:hAnsi="Arial" w:cs="Arial"/>
          <w:sz w:val="23"/>
          <w:szCs w:val="23"/>
        </w:rPr>
        <w:t>................................</w:t>
      </w:r>
      <w:r>
        <w:rPr>
          <w:rFonts w:ascii="Arial" w:hAnsi="Arial" w:cs="Arial"/>
          <w:sz w:val="23"/>
          <w:szCs w:val="23"/>
        </w:rPr>
        <w:t xml:space="preserve">1 </w:t>
      </w:r>
    </w:p>
    <w:p w14:paraId="390B7C41" w14:textId="77777777" w:rsidR="00E118D6" w:rsidRDefault="006036D7" w:rsidP="00E118D6">
      <w:pPr>
        <w:pStyle w:val="Default"/>
        <w:rPr>
          <w:rFonts w:ascii="Arial" w:hAnsi="Arial" w:cs="Arial"/>
          <w:sz w:val="23"/>
          <w:szCs w:val="23"/>
        </w:rPr>
      </w:pPr>
      <w:r>
        <w:rPr>
          <w:sz w:val="23"/>
          <w:szCs w:val="23"/>
        </w:rPr>
        <w:t xml:space="preserve">The Mycology Reference Centre </w:t>
      </w:r>
      <w:r>
        <w:rPr>
          <w:rFonts w:ascii="Arial" w:hAnsi="Arial" w:cs="Arial"/>
          <w:sz w:val="23"/>
          <w:szCs w:val="23"/>
        </w:rPr>
        <w:t xml:space="preserve">...............1 </w:t>
      </w:r>
    </w:p>
    <w:p w14:paraId="08AA9C1D" w14:textId="77777777" w:rsidR="00E118D6" w:rsidRDefault="006036D7" w:rsidP="00E118D6">
      <w:pPr>
        <w:pStyle w:val="Default"/>
        <w:rPr>
          <w:rFonts w:ascii="Arial" w:hAnsi="Arial" w:cs="Arial"/>
          <w:sz w:val="23"/>
          <w:szCs w:val="23"/>
        </w:rPr>
      </w:pPr>
      <w:r>
        <w:rPr>
          <w:sz w:val="23"/>
          <w:szCs w:val="23"/>
        </w:rPr>
        <w:t xml:space="preserve">Request Forms </w:t>
      </w:r>
      <w:r>
        <w:rPr>
          <w:rFonts w:ascii="Arial" w:hAnsi="Arial" w:cs="Arial"/>
          <w:sz w:val="23"/>
          <w:szCs w:val="23"/>
        </w:rPr>
        <w:t xml:space="preserve">...................................... 1 </w:t>
      </w:r>
    </w:p>
    <w:p w14:paraId="1433B77D" w14:textId="77777777" w:rsidR="00E118D6" w:rsidRDefault="006036D7" w:rsidP="00E118D6">
      <w:pPr>
        <w:pStyle w:val="Default"/>
        <w:rPr>
          <w:rFonts w:ascii="Arial" w:hAnsi="Arial" w:cs="Arial"/>
          <w:sz w:val="23"/>
          <w:szCs w:val="23"/>
        </w:rPr>
      </w:pPr>
      <w:r>
        <w:rPr>
          <w:sz w:val="23"/>
          <w:szCs w:val="23"/>
        </w:rPr>
        <w:t xml:space="preserve">Specimen Transportation </w:t>
      </w:r>
      <w:r>
        <w:rPr>
          <w:rFonts w:ascii="Arial" w:hAnsi="Arial" w:cs="Arial"/>
          <w:sz w:val="23"/>
          <w:szCs w:val="23"/>
        </w:rPr>
        <w:t xml:space="preserve">....................... 1 </w:t>
      </w:r>
    </w:p>
    <w:p w14:paraId="1F12FDAB" w14:textId="77777777" w:rsidR="00E118D6" w:rsidRDefault="006036D7" w:rsidP="00E118D6">
      <w:pPr>
        <w:pStyle w:val="Default"/>
        <w:rPr>
          <w:rFonts w:ascii="Arial" w:hAnsi="Arial" w:cs="Arial"/>
          <w:sz w:val="23"/>
          <w:szCs w:val="23"/>
        </w:rPr>
      </w:pPr>
      <w:r>
        <w:rPr>
          <w:sz w:val="23"/>
          <w:szCs w:val="23"/>
        </w:rPr>
        <w:t xml:space="preserve">Telephone Reporting of Results </w:t>
      </w:r>
      <w:r>
        <w:rPr>
          <w:rFonts w:ascii="Arial" w:hAnsi="Arial" w:cs="Arial"/>
          <w:sz w:val="23"/>
          <w:szCs w:val="23"/>
        </w:rPr>
        <w:t xml:space="preserve">.............. 1 </w:t>
      </w:r>
    </w:p>
    <w:p w14:paraId="369A58FF" w14:textId="77777777" w:rsidR="00E118D6" w:rsidRDefault="006036D7" w:rsidP="00E118D6">
      <w:pPr>
        <w:pStyle w:val="Default"/>
        <w:rPr>
          <w:rFonts w:ascii="Arial" w:hAnsi="Arial" w:cs="Arial"/>
          <w:sz w:val="23"/>
          <w:szCs w:val="23"/>
        </w:rPr>
      </w:pPr>
      <w:r>
        <w:rPr>
          <w:sz w:val="23"/>
          <w:szCs w:val="23"/>
        </w:rPr>
        <w:t xml:space="preserve">Fungal Microscopy and Culture </w:t>
      </w:r>
      <w:r w:rsidR="009F2BF5">
        <w:rPr>
          <w:rFonts w:ascii="Arial" w:hAnsi="Arial" w:cs="Arial"/>
          <w:sz w:val="23"/>
          <w:szCs w:val="23"/>
        </w:rPr>
        <w:t>............... 2</w:t>
      </w:r>
      <w:r>
        <w:rPr>
          <w:rFonts w:ascii="Arial" w:hAnsi="Arial" w:cs="Arial"/>
          <w:sz w:val="23"/>
          <w:szCs w:val="23"/>
        </w:rPr>
        <w:t xml:space="preserve"> </w:t>
      </w:r>
    </w:p>
    <w:p w14:paraId="5A54FA3D" w14:textId="77777777" w:rsidR="00E118D6" w:rsidRDefault="006036D7" w:rsidP="00E118D6">
      <w:pPr>
        <w:pStyle w:val="Default"/>
        <w:rPr>
          <w:rFonts w:ascii="Arial" w:hAnsi="Arial" w:cs="Arial"/>
          <w:sz w:val="23"/>
          <w:szCs w:val="23"/>
        </w:rPr>
      </w:pPr>
      <w:r>
        <w:rPr>
          <w:sz w:val="23"/>
          <w:szCs w:val="23"/>
        </w:rPr>
        <w:t xml:space="preserve">Identification and Antifungal Susceptibility Testing </w:t>
      </w:r>
      <w:r>
        <w:rPr>
          <w:rFonts w:ascii="Arial" w:hAnsi="Arial" w:cs="Arial"/>
          <w:sz w:val="23"/>
          <w:szCs w:val="23"/>
        </w:rPr>
        <w:t xml:space="preserve">.................................................. 2 </w:t>
      </w:r>
    </w:p>
    <w:p w14:paraId="0910DA91" w14:textId="77777777" w:rsidR="00E118D6" w:rsidRDefault="006036D7" w:rsidP="00E118D6">
      <w:pPr>
        <w:pStyle w:val="Default"/>
        <w:rPr>
          <w:rFonts w:ascii="Arial" w:hAnsi="Arial" w:cs="Arial"/>
          <w:sz w:val="23"/>
          <w:szCs w:val="23"/>
        </w:rPr>
      </w:pPr>
      <w:r>
        <w:rPr>
          <w:sz w:val="23"/>
          <w:szCs w:val="23"/>
        </w:rPr>
        <w:t xml:space="preserve">Antibody Testing </w:t>
      </w:r>
      <w:r>
        <w:rPr>
          <w:rFonts w:ascii="Arial" w:hAnsi="Arial" w:cs="Arial"/>
          <w:sz w:val="23"/>
          <w:szCs w:val="23"/>
        </w:rPr>
        <w:t xml:space="preserve">.................................... 3 </w:t>
      </w:r>
    </w:p>
    <w:p w14:paraId="669DAF6F" w14:textId="77777777" w:rsidR="00E118D6" w:rsidRDefault="006036D7" w:rsidP="00E118D6">
      <w:pPr>
        <w:pStyle w:val="Default"/>
        <w:rPr>
          <w:rFonts w:ascii="Arial" w:hAnsi="Arial" w:cs="Arial"/>
          <w:sz w:val="23"/>
          <w:szCs w:val="23"/>
        </w:rPr>
      </w:pPr>
      <w:r>
        <w:rPr>
          <w:sz w:val="23"/>
          <w:szCs w:val="23"/>
        </w:rPr>
        <w:t xml:space="preserve">Antigen Testing </w:t>
      </w:r>
      <w:r>
        <w:rPr>
          <w:rFonts w:ascii="Arial" w:hAnsi="Arial" w:cs="Arial"/>
          <w:sz w:val="23"/>
          <w:szCs w:val="23"/>
        </w:rPr>
        <w:t>.................</w:t>
      </w:r>
      <w:r w:rsidR="009B28EB">
        <w:rPr>
          <w:rFonts w:ascii="Arial" w:hAnsi="Arial" w:cs="Arial"/>
          <w:sz w:val="23"/>
          <w:szCs w:val="23"/>
        </w:rPr>
        <w:t xml:space="preserve">..................... </w:t>
      </w:r>
      <w:r>
        <w:rPr>
          <w:rFonts w:ascii="Arial" w:hAnsi="Arial" w:cs="Arial"/>
          <w:sz w:val="23"/>
          <w:szCs w:val="23"/>
        </w:rPr>
        <w:t xml:space="preserve">4 </w:t>
      </w:r>
    </w:p>
    <w:p w14:paraId="4A602F75" w14:textId="77777777" w:rsidR="00E118D6" w:rsidRDefault="006036D7" w:rsidP="00E118D6">
      <w:pPr>
        <w:pStyle w:val="Default"/>
        <w:rPr>
          <w:rFonts w:ascii="Arial" w:hAnsi="Arial" w:cs="Arial"/>
          <w:sz w:val="23"/>
          <w:szCs w:val="23"/>
        </w:rPr>
      </w:pPr>
      <w:r>
        <w:rPr>
          <w:sz w:val="23"/>
          <w:szCs w:val="23"/>
        </w:rPr>
        <w:t xml:space="preserve">Antifungal Drug Assays </w:t>
      </w:r>
      <w:r>
        <w:rPr>
          <w:rFonts w:ascii="Arial" w:hAnsi="Arial" w:cs="Arial"/>
          <w:sz w:val="23"/>
          <w:szCs w:val="23"/>
        </w:rPr>
        <w:t xml:space="preserve">........................... 4 </w:t>
      </w:r>
    </w:p>
    <w:p w14:paraId="67097830" w14:textId="77777777" w:rsidR="00E118D6" w:rsidRDefault="006036D7" w:rsidP="00E118D6">
      <w:pPr>
        <w:pStyle w:val="Default"/>
        <w:rPr>
          <w:rFonts w:ascii="Arial" w:hAnsi="Arial" w:cs="Arial"/>
          <w:sz w:val="23"/>
          <w:szCs w:val="23"/>
        </w:rPr>
      </w:pPr>
      <w:r>
        <w:rPr>
          <w:sz w:val="23"/>
          <w:szCs w:val="23"/>
        </w:rPr>
        <w:t>External Quality Assurance</w:t>
      </w:r>
      <w:r w:rsidR="009F2BF5">
        <w:rPr>
          <w:rFonts w:ascii="Arial" w:hAnsi="Arial" w:cs="Arial"/>
          <w:sz w:val="23"/>
          <w:szCs w:val="23"/>
        </w:rPr>
        <w:t>...................... 4</w:t>
      </w:r>
      <w:r>
        <w:rPr>
          <w:rFonts w:ascii="Arial" w:hAnsi="Arial" w:cs="Arial"/>
          <w:sz w:val="23"/>
          <w:szCs w:val="23"/>
        </w:rPr>
        <w:t xml:space="preserve"> </w:t>
      </w:r>
    </w:p>
    <w:p w14:paraId="7154BDB9" w14:textId="77777777" w:rsidR="00E118D6" w:rsidRDefault="006036D7" w:rsidP="00E118D6">
      <w:pPr>
        <w:pStyle w:val="Default"/>
        <w:rPr>
          <w:rFonts w:ascii="Arial" w:hAnsi="Arial" w:cs="Arial"/>
          <w:sz w:val="23"/>
          <w:szCs w:val="23"/>
        </w:rPr>
      </w:pPr>
      <w:r>
        <w:rPr>
          <w:sz w:val="23"/>
          <w:szCs w:val="23"/>
        </w:rPr>
        <w:t xml:space="preserve">Further information </w:t>
      </w:r>
      <w:r>
        <w:rPr>
          <w:rFonts w:ascii="Arial" w:hAnsi="Arial" w:cs="Arial"/>
          <w:sz w:val="23"/>
          <w:szCs w:val="23"/>
        </w:rPr>
        <w:t xml:space="preserve">................................ 5 </w:t>
      </w:r>
    </w:p>
    <w:p w14:paraId="5AFF5ED0" w14:textId="77777777" w:rsidR="00021543" w:rsidRDefault="00021543" w:rsidP="00E118D6">
      <w:pPr>
        <w:pStyle w:val="Default"/>
        <w:rPr>
          <w:b/>
          <w:bCs/>
          <w:sz w:val="22"/>
          <w:szCs w:val="22"/>
        </w:rPr>
      </w:pPr>
    </w:p>
    <w:p w14:paraId="11E52E1A" w14:textId="77777777" w:rsidR="00E118D6" w:rsidRDefault="006036D7" w:rsidP="00E118D6">
      <w:pPr>
        <w:pStyle w:val="Default"/>
        <w:rPr>
          <w:sz w:val="22"/>
          <w:szCs w:val="22"/>
        </w:rPr>
      </w:pPr>
      <w:r>
        <w:rPr>
          <w:b/>
          <w:bCs/>
          <w:sz w:val="22"/>
          <w:szCs w:val="22"/>
        </w:rPr>
        <w:t xml:space="preserve">The Mycology Reference Centre </w:t>
      </w:r>
    </w:p>
    <w:p w14:paraId="20265B70" w14:textId="77777777" w:rsidR="00E118D6" w:rsidRDefault="006036D7" w:rsidP="00E118D6">
      <w:pPr>
        <w:pStyle w:val="Default"/>
        <w:rPr>
          <w:sz w:val="22"/>
          <w:szCs w:val="22"/>
        </w:rPr>
      </w:pPr>
      <w:r>
        <w:rPr>
          <w:sz w:val="22"/>
          <w:szCs w:val="22"/>
        </w:rPr>
        <w:t>The Mycology Reference Centre is situated in th</w:t>
      </w:r>
      <w:r>
        <w:rPr>
          <w:sz w:val="22"/>
          <w:szCs w:val="22"/>
        </w:rPr>
        <w:t xml:space="preserve">e Old Medical School, within the Leeds Teaching Hospitals NHS Trust (LTHT) Department of Microbiology. </w:t>
      </w:r>
    </w:p>
    <w:p w14:paraId="7A8E8FCE" w14:textId="77777777" w:rsidR="008B1348" w:rsidRDefault="008B1348" w:rsidP="00E118D6">
      <w:pPr>
        <w:pStyle w:val="Default"/>
        <w:rPr>
          <w:sz w:val="22"/>
          <w:szCs w:val="22"/>
        </w:rPr>
      </w:pPr>
    </w:p>
    <w:p w14:paraId="4A2FD3E9" w14:textId="77777777" w:rsidR="008B1348" w:rsidRDefault="006036D7" w:rsidP="00E118D6">
      <w:pPr>
        <w:pStyle w:val="Default"/>
        <w:rPr>
          <w:b/>
          <w:sz w:val="22"/>
          <w:szCs w:val="22"/>
        </w:rPr>
      </w:pPr>
      <w:r>
        <w:rPr>
          <w:b/>
          <w:sz w:val="22"/>
          <w:szCs w:val="22"/>
        </w:rPr>
        <w:t>Accreditation</w:t>
      </w:r>
    </w:p>
    <w:p w14:paraId="27E17813" w14:textId="77777777" w:rsidR="008B1348" w:rsidRPr="00D51EC1" w:rsidRDefault="006036D7" w:rsidP="00E118D6">
      <w:pPr>
        <w:pStyle w:val="Default"/>
        <w:rPr>
          <w:color w:val="auto"/>
          <w:sz w:val="22"/>
          <w:szCs w:val="22"/>
        </w:rPr>
      </w:pPr>
      <w:r>
        <w:rPr>
          <w:color w:val="auto"/>
        </w:rPr>
        <w:t xml:space="preserve">The MRC service is accredited by </w:t>
      </w:r>
      <w:r w:rsidR="00D51EC1" w:rsidRPr="00D51EC1">
        <w:rPr>
          <w:color w:val="auto"/>
        </w:rPr>
        <w:t xml:space="preserve">UKAS </w:t>
      </w:r>
      <w:r>
        <w:rPr>
          <w:color w:val="auto"/>
        </w:rPr>
        <w:t xml:space="preserve">for ISO 15189:2012. There are a few tests which are out of scope of this </w:t>
      </w:r>
      <w:r w:rsidR="00C16391">
        <w:rPr>
          <w:color w:val="auto"/>
        </w:rPr>
        <w:t>accreditation</w:t>
      </w:r>
      <w:r>
        <w:rPr>
          <w:color w:val="auto"/>
        </w:rPr>
        <w:t xml:space="preserve"> which are indicated below.</w:t>
      </w:r>
    </w:p>
    <w:p w14:paraId="0FC82FFF" w14:textId="77777777" w:rsidR="008B1348" w:rsidRPr="008B1348" w:rsidRDefault="008B1348" w:rsidP="00E118D6">
      <w:pPr>
        <w:pStyle w:val="Default"/>
        <w:rPr>
          <w:sz w:val="22"/>
          <w:szCs w:val="22"/>
        </w:rPr>
      </w:pPr>
    </w:p>
    <w:p w14:paraId="0DE5FADE" w14:textId="77777777" w:rsidR="00E118D6" w:rsidRDefault="006036D7" w:rsidP="00E118D6">
      <w:pPr>
        <w:pStyle w:val="Default"/>
        <w:rPr>
          <w:sz w:val="22"/>
          <w:szCs w:val="22"/>
        </w:rPr>
      </w:pPr>
      <w:r>
        <w:rPr>
          <w:b/>
          <w:bCs/>
          <w:sz w:val="22"/>
          <w:szCs w:val="22"/>
        </w:rPr>
        <w:t xml:space="preserve">Contact details: </w:t>
      </w:r>
    </w:p>
    <w:p w14:paraId="4AD5D716" w14:textId="77777777" w:rsidR="00E118D6" w:rsidRDefault="006036D7" w:rsidP="00E118D6">
      <w:pPr>
        <w:pStyle w:val="Default"/>
        <w:rPr>
          <w:sz w:val="22"/>
          <w:szCs w:val="22"/>
        </w:rPr>
      </w:pPr>
      <w:r>
        <w:rPr>
          <w:sz w:val="22"/>
          <w:szCs w:val="22"/>
        </w:rPr>
        <w:t xml:space="preserve">Mycology Reference Centre </w:t>
      </w:r>
    </w:p>
    <w:p w14:paraId="08A948ED" w14:textId="77777777" w:rsidR="00E118D6" w:rsidRDefault="006036D7" w:rsidP="00E118D6">
      <w:pPr>
        <w:pStyle w:val="Default"/>
        <w:rPr>
          <w:sz w:val="22"/>
          <w:szCs w:val="22"/>
        </w:rPr>
      </w:pPr>
      <w:r>
        <w:rPr>
          <w:sz w:val="22"/>
          <w:szCs w:val="22"/>
        </w:rPr>
        <w:t xml:space="preserve">Leeds General Infirmary </w:t>
      </w:r>
    </w:p>
    <w:p w14:paraId="615F6F15" w14:textId="77777777" w:rsidR="00E118D6" w:rsidRDefault="006036D7" w:rsidP="00E118D6">
      <w:pPr>
        <w:pStyle w:val="Default"/>
        <w:rPr>
          <w:sz w:val="22"/>
          <w:szCs w:val="22"/>
        </w:rPr>
      </w:pPr>
      <w:r>
        <w:rPr>
          <w:sz w:val="22"/>
          <w:szCs w:val="22"/>
        </w:rPr>
        <w:t xml:space="preserve">LEEDS, LS1 3EX </w:t>
      </w:r>
    </w:p>
    <w:p w14:paraId="2535614E" w14:textId="77777777" w:rsidR="00E118D6" w:rsidRDefault="006036D7" w:rsidP="00E118D6">
      <w:pPr>
        <w:pStyle w:val="Default"/>
        <w:rPr>
          <w:sz w:val="22"/>
          <w:szCs w:val="22"/>
        </w:rPr>
      </w:pPr>
      <w:r>
        <w:rPr>
          <w:sz w:val="22"/>
          <w:szCs w:val="22"/>
        </w:rPr>
        <w:t xml:space="preserve">Tel: 0113 3926787 </w:t>
      </w:r>
    </w:p>
    <w:p w14:paraId="0BE2BDAA" w14:textId="77777777" w:rsidR="00E118D6" w:rsidRDefault="006036D7" w:rsidP="00E118D6">
      <w:pPr>
        <w:pStyle w:val="Default"/>
        <w:rPr>
          <w:sz w:val="22"/>
          <w:szCs w:val="22"/>
        </w:rPr>
      </w:pPr>
      <w:r>
        <w:rPr>
          <w:sz w:val="22"/>
          <w:szCs w:val="22"/>
        </w:rPr>
        <w:t>www.pathology.leedsth.nhs.uk/Mycolog</w:t>
      </w:r>
      <w:r>
        <w:rPr>
          <w:sz w:val="22"/>
          <w:szCs w:val="22"/>
        </w:rPr>
        <w:t>y</w:t>
      </w:r>
    </w:p>
    <w:p w14:paraId="1492CB72" w14:textId="77777777" w:rsidR="00E118D6" w:rsidRDefault="006036D7" w:rsidP="00E118D6">
      <w:pPr>
        <w:pStyle w:val="Default"/>
        <w:rPr>
          <w:sz w:val="22"/>
          <w:szCs w:val="22"/>
        </w:rPr>
      </w:pPr>
      <w:r>
        <w:rPr>
          <w:sz w:val="22"/>
          <w:szCs w:val="22"/>
        </w:rPr>
        <w:t xml:space="preserve">Hayes DX address: DX 6281504, Exchange LEEDS 90 LS. </w:t>
      </w:r>
    </w:p>
    <w:p w14:paraId="5E93A017" w14:textId="77777777" w:rsidR="00E118D6" w:rsidRDefault="006036D7" w:rsidP="00E118D6">
      <w:pPr>
        <w:pStyle w:val="Default"/>
        <w:rPr>
          <w:sz w:val="22"/>
          <w:szCs w:val="22"/>
        </w:rPr>
      </w:pPr>
      <w:r>
        <w:rPr>
          <w:b/>
          <w:bCs/>
          <w:sz w:val="22"/>
          <w:szCs w:val="22"/>
        </w:rPr>
        <w:t xml:space="preserve">Clinical and Laboratory Staff contact details: </w:t>
      </w:r>
    </w:p>
    <w:p w14:paraId="60717DBA" w14:textId="77777777" w:rsidR="00E118D6" w:rsidRDefault="006036D7" w:rsidP="00E118D6">
      <w:pPr>
        <w:pStyle w:val="Default"/>
        <w:rPr>
          <w:sz w:val="22"/>
          <w:szCs w:val="22"/>
        </w:rPr>
      </w:pPr>
      <w:r>
        <w:rPr>
          <w:sz w:val="22"/>
          <w:szCs w:val="22"/>
        </w:rPr>
        <w:t xml:space="preserve">Principal Clinical Scientist: Richard Barton, Tel 0113 </w:t>
      </w:r>
      <w:proofErr w:type="gramStart"/>
      <w:r>
        <w:rPr>
          <w:sz w:val="22"/>
          <w:szCs w:val="22"/>
        </w:rPr>
        <w:t>3923390</w:t>
      </w:r>
      <w:proofErr w:type="gramEnd"/>
      <w:r>
        <w:rPr>
          <w:sz w:val="22"/>
          <w:szCs w:val="22"/>
        </w:rPr>
        <w:t xml:space="preserve"> or</w:t>
      </w:r>
      <w:r w:rsidR="00207374">
        <w:rPr>
          <w:sz w:val="22"/>
          <w:szCs w:val="22"/>
        </w:rPr>
        <w:t xml:space="preserve"> email </w:t>
      </w:r>
      <w:hyperlink r:id="rId15" w:history="1">
        <w:r w:rsidR="00770F9B" w:rsidRPr="00770F9B">
          <w:rPr>
            <w:rStyle w:val="Hyperlink"/>
            <w:sz w:val="22"/>
            <w:szCs w:val="22"/>
          </w:rPr>
          <w:t>Richard.Barton2@nhs.net</w:t>
        </w:r>
      </w:hyperlink>
    </w:p>
    <w:p w14:paraId="7CF12D92" w14:textId="77777777" w:rsidR="00E118D6" w:rsidRDefault="006036D7" w:rsidP="00E118D6">
      <w:pPr>
        <w:pStyle w:val="Default"/>
        <w:rPr>
          <w:sz w:val="22"/>
          <w:szCs w:val="22"/>
        </w:rPr>
      </w:pPr>
      <w:r>
        <w:rPr>
          <w:sz w:val="22"/>
          <w:szCs w:val="22"/>
        </w:rPr>
        <w:t>Advanced B</w:t>
      </w:r>
      <w:r>
        <w:rPr>
          <w:sz w:val="22"/>
          <w:szCs w:val="22"/>
        </w:rPr>
        <w:t xml:space="preserve">iomedical Scientist: </w:t>
      </w:r>
      <w:r w:rsidR="00207374">
        <w:rPr>
          <w:sz w:val="22"/>
          <w:szCs w:val="22"/>
        </w:rPr>
        <w:t>Rebekka Tolson</w:t>
      </w:r>
      <w:r>
        <w:rPr>
          <w:sz w:val="22"/>
          <w:szCs w:val="22"/>
        </w:rPr>
        <w:t xml:space="preserve"> Tel: 0113 392 8748 or email </w:t>
      </w:r>
      <w:hyperlink r:id="rId16" w:history="1">
        <w:r w:rsidR="00770F9B" w:rsidRPr="00770F9B">
          <w:rPr>
            <w:rStyle w:val="Hyperlink"/>
            <w:sz w:val="22"/>
            <w:szCs w:val="22"/>
          </w:rPr>
          <w:t>Rebekka.Tolson@nhs.net</w:t>
        </w:r>
      </w:hyperlink>
    </w:p>
    <w:p w14:paraId="4B6E348C" w14:textId="77777777" w:rsidR="00E118D6" w:rsidRDefault="006036D7" w:rsidP="00E118D6">
      <w:pPr>
        <w:pStyle w:val="Default"/>
        <w:rPr>
          <w:sz w:val="22"/>
          <w:szCs w:val="22"/>
        </w:rPr>
      </w:pPr>
      <w:r>
        <w:rPr>
          <w:b/>
          <w:bCs/>
          <w:sz w:val="22"/>
          <w:szCs w:val="22"/>
        </w:rPr>
        <w:t xml:space="preserve">Opening hours: </w:t>
      </w:r>
    </w:p>
    <w:p w14:paraId="5DE2B819" w14:textId="77777777" w:rsidR="00E118D6" w:rsidRDefault="006036D7" w:rsidP="00E118D6">
      <w:pPr>
        <w:pStyle w:val="Default"/>
        <w:rPr>
          <w:sz w:val="22"/>
          <w:szCs w:val="22"/>
        </w:rPr>
      </w:pPr>
      <w:r>
        <w:rPr>
          <w:sz w:val="22"/>
          <w:szCs w:val="22"/>
        </w:rPr>
        <w:t>The laboratory is open from 09:00-17:00 Monday to Friday. It may be possible to organise specific testing o</w:t>
      </w:r>
      <w:r>
        <w:rPr>
          <w:sz w:val="22"/>
          <w:szCs w:val="22"/>
        </w:rPr>
        <w:t xml:space="preserve">utside these times after discussion with senior staff. </w:t>
      </w:r>
    </w:p>
    <w:p w14:paraId="5DBD7DBB" w14:textId="77777777" w:rsidR="00E118D6" w:rsidRDefault="006036D7" w:rsidP="00E118D6">
      <w:pPr>
        <w:pStyle w:val="Default"/>
        <w:rPr>
          <w:sz w:val="22"/>
          <w:szCs w:val="22"/>
        </w:rPr>
      </w:pPr>
      <w:r>
        <w:rPr>
          <w:b/>
          <w:bCs/>
          <w:sz w:val="22"/>
          <w:szCs w:val="22"/>
        </w:rPr>
        <w:t xml:space="preserve">Clinical/laboratory advice and report interpretation: </w:t>
      </w:r>
    </w:p>
    <w:p w14:paraId="498D694B" w14:textId="77777777" w:rsidR="00E118D6" w:rsidRDefault="006036D7" w:rsidP="00E118D6">
      <w:pPr>
        <w:pStyle w:val="Default"/>
        <w:rPr>
          <w:sz w:val="22"/>
          <w:szCs w:val="22"/>
        </w:rPr>
      </w:pPr>
      <w:r>
        <w:rPr>
          <w:sz w:val="22"/>
          <w:szCs w:val="22"/>
        </w:rPr>
        <w:t xml:space="preserve">Advice is available from the staff members listed. Staff </w:t>
      </w:r>
      <w:r w:rsidR="00A34645">
        <w:rPr>
          <w:sz w:val="22"/>
          <w:szCs w:val="22"/>
        </w:rPr>
        <w:t>may also be</w:t>
      </w:r>
      <w:r>
        <w:rPr>
          <w:sz w:val="22"/>
          <w:szCs w:val="22"/>
        </w:rPr>
        <w:t xml:space="preserve"> happy to advise on mycological issues that do not relate to samples submitted to the Mycology Reference Centre for processing, where possible. </w:t>
      </w:r>
    </w:p>
    <w:p w14:paraId="510D2D79" w14:textId="77777777" w:rsidR="00E118D6" w:rsidRDefault="006036D7" w:rsidP="00E118D6">
      <w:pPr>
        <w:pStyle w:val="Default"/>
        <w:rPr>
          <w:sz w:val="22"/>
          <w:szCs w:val="22"/>
        </w:rPr>
      </w:pPr>
      <w:r>
        <w:rPr>
          <w:b/>
          <w:bCs/>
          <w:sz w:val="22"/>
          <w:szCs w:val="22"/>
        </w:rPr>
        <w:t xml:space="preserve">Request Forms </w:t>
      </w:r>
    </w:p>
    <w:p w14:paraId="019662E3" w14:textId="77777777" w:rsidR="00E118D6" w:rsidRDefault="006036D7" w:rsidP="00E118D6">
      <w:pPr>
        <w:pStyle w:val="Default"/>
        <w:rPr>
          <w:sz w:val="22"/>
          <w:szCs w:val="22"/>
        </w:rPr>
      </w:pPr>
      <w:r>
        <w:rPr>
          <w:sz w:val="22"/>
          <w:szCs w:val="22"/>
        </w:rPr>
        <w:t>Request forms should be filled in for every specimen sent to the laboratory. They should contain</w:t>
      </w:r>
      <w:r>
        <w:rPr>
          <w:sz w:val="22"/>
          <w:szCs w:val="22"/>
        </w:rPr>
        <w:t xml:space="preserve"> as much information as possible, as this may aid interpretation of test results. The minimum information required is: patient name, hospital number, date of birth, the place from which the specimen is being sent e.g. hospital, GP surgery, ward, specimen t</w:t>
      </w:r>
      <w:r>
        <w:rPr>
          <w:sz w:val="22"/>
          <w:szCs w:val="22"/>
        </w:rPr>
        <w:t xml:space="preserve">ype and the tests requested. Request Forms may be downloaded from </w:t>
      </w:r>
      <w:r w:rsidR="007D79F1">
        <w:rPr>
          <w:sz w:val="22"/>
          <w:szCs w:val="22"/>
        </w:rPr>
        <w:t xml:space="preserve">the website </w:t>
      </w:r>
      <w:r>
        <w:rPr>
          <w:sz w:val="22"/>
          <w:szCs w:val="22"/>
        </w:rPr>
        <w:t xml:space="preserve">or obtained by email from </w:t>
      </w:r>
      <w:r w:rsidR="00373FE9">
        <w:rPr>
          <w:sz w:val="22"/>
          <w:szCs w:val="22"/>
        </w:rPr>
        <w:t>Rebekka.Tolson</w:t>
      </w:r>
      <w:r>
        <w:rPr>
          <w:sz w:val="22"/>
          <w:szCs w:val="22"/>
        </w:rPr>
        <w:t xml:space="preserve">@nhs.net </w:t>
      </w:r>
    </w:p>
    <w:p w14:paraId="015C4F79" w14:textId="77777777" w:rsidR="00E118D6" w:rsidRDefault="006036D7" w:rsidP="00E118D6">
      <w:pPr>
        <w:pStyle w:val="Default"/>
        <w:rPr>
          <w:sz w:val="22"/>
          <w:szCs w:val="22"/>
        </w:rPr>
      </w:pPr>
      <w:r>
        <w:rPr>
          <w:b/>
          <w:bCs/>
          <w:sz w:val="22"/>
          <w:szCs w:val="22"/>
        </w:rPr>
        <w:t xml:space="preserve">Specimen Transportation </w:t>
      </w:r>
    </w:p>
    <w:p w14:paraId="4D61807E" w14:textId="77777777" w:rsidR="00E118D6" w:rsidRDefault="006036D7" w:rsidP="00E118D6">
      <w:pPr>
        <w:pStyle w:val="Default"/>
        <w:rPr>
          <w:sz w:val="22"/>
          <w:szCs w:val="22"/>
        </w:rPr>
      </w:pPr>
      <w:r>
        <w:rPr>
          <w:sz w:val="22"/>
          <w:szCs w:val="22"/>
        </w:rPr>
        <w:t xml:space="preserve">Specimens should be sent by established transport networks. Specimens from within the Leeds </w:t>
      </w:r>
      <w:r>
        <w:rPr>
          <w:sz w:val="22"/>
          <w:szCs w:val="22"/>
        </w:rPr>
        <w:t>Teaching Hospitals NHS Trust should be sent either via the air tube system or specimen shuttles from other sites. Specimens should be sent via the postal system or Hayes DX</w:t>
      </w:r>
      <w:r w:rsidR="00C0110B">
        <w:rPr>
          <w:sz w:val="22"/>
          <w:szCs w:val="22"/>
        </w:rPr>
        <w:t xml:space="preserve"> and be appropriately packaged according to UN3373 regulation. </w:t>
      </w:r>
      <w:r>
        <w:rPr>
          <w:sz w:val="22"/>
          <w:szCs w:val="22"/>
        </w:rPr>
        <w:t>Specimens (tube or pa</w:t>
      </w:r>
      <w:r>
        <w:rPr>
          <w:sz w:val="22"/>
          <w:szCs w:val="22"/>
        </w:rPr>
        <w:t xml:space="preserve">cket) must be clearly labelled with the patients name, and where appropriate a referring laboratory number. </w:t>
      </w:r>
    </w:p>
    <w:p w14:paraId="308B3534" w14:textId="77777777" w:rsidR="00A34645" w:rsidRDefault="00A34645" w:rsidP="00E118D6">
      <w:pPr>
        <w:pStyle w:val="Default"/>
        <w:rPr>
          <w:sz w:val="22"/>
          <w:szCs w:val="22"/>
        </w:rPr>
      </w:pPr>
    </w:p>
    <w:p w14:paraId="6784EBCC" w14:textId="77777777" w:rsidR="00A34645" w:rsidRDefault="00A34645" w:rsidP="00E118D6">
      <w:pPr>
        <w:pStyle w:val="Default"/>
        <w:rPr>
          <w:sz w:val="22"/>
          <w:szCs w:val="22"/>
        </w:rPr>
      </w:pPr>
    </w:p>
    <w:p w14:paraId="7156DE21" w14:textId="77777777" w:rsidR="00E118D6" w:rsidRDefault="006036D7" w:rsidP="00E118D6">
      <w:pPr>
        <w:pStyle w:val="Default"/>
        <w:rPr>
          <w:sz w:val="22"/>
          <w:szCs w:val="22"/>
        </w:rPr>
      </w:pPr>
      <w:r>
        <w:rPr>
          <w:b/>
          <w:bCs/>
          <w:sz w:val="22"/>
          <w:szCs w:val="22"/>
        </w:rPr>
        <w:lastRenderedPageBreak/>
        <w:t xml:space="preserve">Telephone Reporting of Results </w:t>
      </w:r>
    </w:p>
    <w:p w14:paraId="2C947CD8" w14:textId="77777777" w:rsidR="00E118D6" w:rsidRDefault="006036D7" w:rsidP="00E118D6">
      <w:pPr>
        <w:pStyle w:val="Default"/>
        <w:rPr>
          <w:sz w:val="22"/>
          <w:szCs w:val="22"/>
        </w:rPr>
      </w:pPr>
      <w:r>
        <w:rPr>
          <w:sz w:val="22"/>
          <w:szCs w:val="22"/>
        </w:rPr>
        <w:t xml:space="preserve">The results of the following investigations will be phoned by the laboratory staff routinely: </w:t>
      </w:r>
    </w:p>
    <w:p w14:paraId="578630D3" w14:textId="77777777" w:rsidR="00E118D6" w:rsidRDefault="006036D7" w:rsidP="00424EDD">
      <w:pPr>
        <w:pStyle w:val="Default"/>
        <w:spacing w:after="30"/>
        <w:rPr>
          <w:sz w:val="22"/>
          <w:szCs w:val="22"/>
        </w:rPr>
      </w:pPr>
      <w:r w:rsidRPr="00424EDD">
        <w:rPr>
          <w:sz w:val="22"/>
          <w:szCs w:val="22"/>
        </w:rPr>
        <w:t>i)</w:t>
      </w:r>
      <w:r>
        <w:rPr>
          <w:sz w:val="22"/>
          <w:szCs w:val="22"/>
        </w:rPr>
        <w:t xml:space="preserve"> Requests marked</w:t>
      </w:r>
      <w:r>
        <w:rPr>
          <w:sz w:val="22"/>
          <w:szCs w:val="22"/>
        </w:rPr>
        <w:t xml:space="preserve"> “Urgent” </w:t>
      </w:r>
    </w:p>
    <w:p w14:paraId="520BFDFF" w14:textId="77777777" w:rsidR="00424EDD" w:rsidRDefault="006036D7" w:rsidP="00E118D6">
      <w:pPr>
        <w:pStyle w:val="Default"/>
        <w:spacing w:after="30"/>
        <w:rPr>
          <w:sz w:val="22"/>
          <w:szCs w:val="22"/>
        </w:rPr>
      </w:pPr>
      <w:r>
        <w:rPr>
          <w:sz w:val="22"/>
          <w:szCs w:val="22"/>
        </w:rPr>
        <w:t xml:space="preserve">ii) </w:t>
      </w:r>
      <w:r w:rsidR="00E118D6">
        <w:rPr>
          <w:sz w:val="22"/>
          <w:szCs w:val="22"/>
        </w:rPr>
        <w:t xml:space="preserve">Positive </w:t>
      </w:r>
      <w:r w:rsidR="00E118D6">
        <w:rPr>
          <w:i/>
          <w:iCs/>
          <w:sz w:val="22"/>
          <w:szCs w:val="22"/>
        </w:rPr>
        <w:t xml:space="preserve">Aspergillus </w:t>
      </w:r>
      <w:r w:rsidR="00E118D6">
        <w:rPr>
          <w:sz w:val="22"/>
          <w:szCs w:val="22"/>
        </w:rPr>
        <w:t>antigen result and any new or ris</w:t>
      </w:r>
      <w:r>
        <w:rPr>
          <w:sz w:val="22"/>
          <w:szCs w:val="22"/>
        </w:rPr>
        <w:t>ing cryptococcal antigen titre</w:t>
      </w:r>
    </w:p>
    <w:p w14:paraId="311BF654" w14:textId="77777777" w:rsidR="00E118D6" w:rsidRDefault="006036D7" w:rsidP="00E118D6">
      <w:pPr>
        <w:pStyle w:val="Default"/>
        <w:spacing w:after="30"/>
        <w:rPr>
          <w:sz w:val="22"/>
          <w:szCs w:val="22"/>
        </w:rPr>
      </w:pPr>
      <w:r>
        <w:rPr>
          <w:sz w:val="22"/>
          <w:szCs w:val="22"/>
        </w:rPr>
        <w:t xml:space="preserve"> iii) Antifungal resistance in clinically significant isolates </w:t>
      </w:r>
    </w:p>
    <w:p w14:paraId="18C5D46D" w14:textId="77777777" w:rsidR="008F2013" w:rsidRDefault="006036D7" w:rsidP="00E118D6">
      <w:pPr>
        <w:pStyle w:val="Default"/>
        <w:rPr>
          <w:sz w:val="22"/>
          <w:szCs w:val="22"/>
        </w:rPr>
      </w:pPr>
      <w:r>
        <w:rPr>
          <w:sz w:val="22"/>
          <w:szCs w:val="22"/>
        </w:rPr>
        <w:t xml:space="preserve">iv) </w:t>
      </w:r>
      <w:r w:rsidR="00E118D6">
        <w:rPr>
          <w:sz w:val="22"/>
          <w:szCs w:val="22"/>
        </w:rPr>
        <w:t xml:space="preserve">Azole assay results </w:t>
      </w:r>
      <w:r>
        <w:rPr>
          <w:sz w:val="22"/>
          <w:szCs w:val="22"/>
        </w:rPr>
        <w:t>that are potentially toxic.</w:t>
      </w:r>
    </w:p>
    <w:p w14:paraId="78732040" w14:textId="77777777" w:rsidR="00A34645" w:rsidRDefault="006036D7" w:rsidP="00E118D6">
      <w:pPr>
        <w:pStyle w:val="Default"/>
        <w:rPr>
          <w:sz w:val="22"/>
          <w:szCs w:val="22"/>
        </w:rPr>
      </w:pPr>
      <w:r>
        <w:rPr>
          <w:sz w:val="22"/>
          <w:szCs w:val="22"/>
        </w:rPr>
        <w:t>v) Beta D glucan results where this is n</w:t>
      </w:r>
      <w:r>
        <w:rPr>
          <w:sz w:val="22"/>
          <w:szCs w:val="22"/>
        </w:rPr>
        <w:t>ot done electronically (see below)</w:t>
      </w:r>
    </w:p>
    <w:p w14:paraId="73A94277" w14:textId="77777777" w:rsidR="00A34645" w:rsidRDefault="00A34645" w:rsidP="00E118D6">
      <w:pPr>
        <w:pStyle w:val="Default"/>
        <w:rPr>
          <w:sz w:val="22"/>
          <w:szCs w:val="22"/>
        </w:rPr>
      </w:pPr>
    </w:p>
    <w:p w14:paraId="3F67BBF4" w14:textId="77777777" w:rsidR="008F2013" w:rsidRPr="008F2013" w:rsidRDefault="006036D7" w:rsidP="00E118D6">
      <w:pPr>
        <w:pStyle w:val="Default"/>
        <w:rPr>
          <w:b/>
          <w:sz w:val="22"/>
          <w:szCs w:val="22"/>
        </w:rPr>
      </w:pPr>
      <w:r w:rsidRPr="008F2013">
        <w:rPr>
          <w:b/>
          <w:sz w:val="22"/>
          <w:szCs w:val="22"/>
        </w:rPr>
        <w:t>Electronic reporting</w:t>
      </w:r>
    </w:p>
    <w:p w14:paraId="09A248B3" w14:textId="77777777" w:rsidR="00E118D6" w:rsidRDefault="006036D7" w:rsidP="00E118D6">
      <w:pPr>
        <w:pStyle w:val="Default"/>
        <w:rPr>
          <w:sz w:val="22"/>
          <w:szCs w:val="22"/>
        </w:rPr>
      </w:pPr>
      <w:r>
        <w:rPr>
          <w:sz w:val="22"/>
          <w:szCs w:val="22"/>
        </w:rPr>
        <w:t xml:space="preserve">Emailed reports can often been arranged if the sender can supply one or more email addresses. Please contact </w:t>
      </w:r>
      <w:hyperlink r:id="rId17" w:history="1">
        <w:r w:rsidRPr="00811710">
          <w:rPr>
            <w:rStyle w:val="Hyperlink"/>
            <w:sz w:val="22"/>
            <w:szCs w:val="22"/>
          </w:rPr>
          <w:t>Richard.Barton2@nhs.net</w:t>
        </w:r>
      </w:hyperlink>
      <w:r>
        <w:rPr>
          <w:sz w:val="22"/>
          <w:szCs w:val="22"/>
        </w:rPr>
        <w:t xml:space="preserve"> to request.  </w:t>
      </w:r>
      <w:r w:rsidR="00186D79">
        <w:rPr>
          <w:sz w:val="22"/>
          <w:szCs w:val="22"/>
        </w:rPr>
        <w:t>We also encourage use of NPEX for serology test results, again contact Richard Barton to discusse.</w:t>
      </w:r>
    </w:p>
    <w:p w14:paraId="31CBB253" w14:textId="77777777" w:rsidR="00E118D6" w:rsidRDefault="00E118D6" w:rsidP="00E118D6"/>
    <w:p w14:paraId="6E84F5F0" w14:textId="77777777" w:rsidR="00424EDD" w:rsidRDefault="006036D7" w:rsidP="00424EDD">
      <w:pPr>
        <w:pStyle w:val="Default"/>
        <w:rPr>
          <w:sz w:val="22"/>
          <w:szCs w:val="22"/>
        </w:rPr>
      </w:pPr>
      <w:r>
        <w:rPr>
          <w:b/>
          <w:bCs/>
          <w:sz w:val="22"/>
          <w:szCs w:val="22"/>
        </w:rPr>
        <w:t xml:space="preserve">Fungal Microscopy and Culture </w:t>
      </w:r>
    </w:p>
    <w:p w14:paraId="7DDBE594" w14:textId="77777777" w:rsidR="00424EDD" w:rsidRDefault="006036D7" w:rsidP="00424EDD">
      <w:pPr>
        <w:pStyle w:val="Default"/>
        <w:rPr>
          <w:sz w:val="22"/>
          <w:szCs w:val="22"/>
        </w:rPr>
      </w:pPr>
      <w:r>
        <w:rPr>
          <w:b/>
          <w:bCs/>
          <w:sz w:val="22"/>
          <w:szCs w:val="22"/>
        </w:rPr>
        <w:t xml:space="preserve">Microscopy and Culture of Clinical Specimens </w:t>
      </w:r>
    </w:p>
    <w:p w14:paraId="78036675" w14:textId="77777777" w:rsidR="00424EDD" w:rsidRDefault="006036D7" w:rsidP="00424EDD">
      <w:pPr>
        <w:pStyle w:val="Default"/>
        <w:rPr>
          <w:sz w:val="22"/>
          <w:szCs w:val="22"/>
        </w:rPr>
      </w:pPr>
      <w:r>
        <w:rPr>
          <w:i/>
          <w:iCs/>
          <w:sz w:val="22"/>
          <w:szCs w:val="22"/>
        </w:rPr>
        <w:t xml:space="preserve">Use(s): </w:t>
      </w:r>
      <w:r>
        <w:rPr>
          <w:sz w:val="22"/>
          <w:szCs w:val="22"/>
        </w:rPr>
        <w:t xml:space="preserve">Isolation and identification of relevant fungi from skin, hair and nail specimens; oral and vaginal swabs; urine; peritoneal </w:t>
      </w:r>
      <w:r w:rsidR="00A34645">
        <w:rPr>
          <w:sz w:val="22"/>
          <w:szCs w:val="22"/>
        </w:rPr>
        <w:t xml:space="preserve">dialysis fluid; CSF; sputum; </w:t>
      </w:r>
      <w:r>
        <w:rPr>
          <w:sz w:val="22"/>
          <w:szCs w:val="22"/>
        </w:rPr>
        <w:t>broncho-alveolar lavage fluid</w:t>
      </w:r>
      <w:r w:rsidR="00A34645">
        <w:rPr>
          <w:sz w:val="22"/>
          <w:szCs w:val="22"/>
        </w:rPr>
        <w:t xml:space="preserve"> and other sites</w:t>
      </w:r>
      <w:r>
        <w:rPr>
          <w:sz w:val="22"/>
          <w:szCs w:val="22"/>
        </w:rPr>
        <w:t>. For sample types other than skin, nail and hair, we adv</w:t>
      </w:r>
      <w:r>
        <w:rPr>
          <w:sz w:val="22"/>
          <w:szCs w:val="22"/>
        </w:rPr>
        <w:t xml:space="preserve">ise referring laboratories to process the primary sample and then send resultant fungal cultures for identification or further testing (See below). </w:t>
      </w:r>
    </w:p>
    <w:p w14:paraId="357E94E9" w14:textId="77777777" w:rsidR="00424EDD" w:rsidRDefault="006036D7" w:rsidP="00424EDD">
      <w:pPr>
        <w:pStyle w:val="Default"/>
        <w:rPr>
          <w:sz w:val="22"/>
          <w:szCs w:val="22"/>
        </w:rPr>
      </w:pPr>
      <w:r>
        <w:rPr>
          <w:i/>
          <w:iCs/>
          <w:sz w:val="22"/>
          <w:szCs w:val="22"/>
        </w:rPr>
        <w:t xml:space="preserve">Description: </w:t>
      </w:r>
      <w:r>
        <w:rPr>
          <w:sz w:val="22"/>
          <w:szCs w:val="22"/>
        </w:rPr>
        <w:t>Microscopy for yeasts, mycelium, arthrocondia and other fungal elements; culture of any viable</w:t>
      </w:r>
      <w:r>
        <w:rPr>
          <w:sz w:val="22"/>
          <w:szCs w:val="22"/>
        </w:rPr>
        <w:t xml:space="preserve"> fungi present and identification of any clinically significant species. Antifungal susceptibility testing is undertaken where appropriate or requested (see below) </w:t>
      </w:r>
    </w:p>
    <w:p w14:paraId="5423729B" w14:textId="77777777" w:rsidR="00424EDD" w:rsidRDefault="006036D7" w:rsidP="00424EDD">
      <w:pPr>
        <w:pStyle w:val="Default"/>
        <w:rPr>
          <w:sz w:val="22"/>
          <w:szCs w:val="22"/>
        </w:rPr>
      </w:pPr>
      <w:r>
        <w:rPr>
          <w:i/>
          <w:iCs/>
          <w:sz w:val="22"/>
          <w:szCs w:val="22"/>
        </w:rPr>
        <w:t xml:space="preserve">Specimens: </w:t>
      </w:r>
      <w:r>
        <w:rPr>
          <w:sz w:val="22"/>
          <w:szCs w:val="22"/>
        </w:rPr>
        <w:t>Skin, nail and hair should be sent in Dermapaks or similar card packs designed f</w:t>
      </w:r>
      <w:r>
        <w:rPr>
          <w:sz w:val="22"/>
          <w:szCs w:val="22"/>
        </w:rPr>
        <w:t>or the purpose.</w:t>
      </w:r>
      <w:r w:rsidR="00A34645">
        <w:rPr>
          <w:sz w:val="22"/>
          <w:szCs w:val="22"/>
        </w:rPr>
        <w:t xml:space="preserve"> W</w:t>
      </w:r>
      <w:r>
        <w:rPr>
          <w:sz w:val="22"/>
          <w:szCs w:val="22"/>
        </w:rPr>
        <w:t xml:space="preserve">et specimens are </w:t>
      </w:r>
      <w:r w:rsidR="00A34645">
        <w:rPr>
          <w:sz w:val="22"/>
          <w:szCs w:val="22"/>
        </w:rPr>
        <w:t xml:space="preserve">best </w:t>
      </w:r>
      <w:r>
        <w:rPr>
          <w:sz w:val="22"/>
          <w:szCs w:val="22"/>
        </w:rPr>
        <w:t xml:space="preserve">processed locally. </w:t>
      </w:r>
    </w:p>
    <w:p w14:paraId="6EF0747B" w14:textId="77777777" w:rsidR="00424EDD" w:rsidRDefault="006036D7" w:rsidP="00424EDD">
      <w:pPr>
        <w:pStyle w:val="Default"/>
        <w:rPr>
          <w:sz w:val="22"/>
          <w:szCs w:val="22"/>
        </w:rPr>
      </w:pPr>
      <w:r>
        <w:rPr>
          <w:i/>
          <w:iCs/>
          <w:sz w:val="22"/>
          <w:szCs w:val="22"/>
        </w:rPr>
        <w:t xml:space="preserve">Results: </w:t>
      </w:r>
      <w:r>
        <w:rPr>
          <w:sz w:val="22"/>
          <w:szCs w:val="22"/>
        </w:rPr>
        <w:t xml:space="preserve">Microscopy is reported as "No fungus seen" or positive with a description of the fungal cells seen. </w:t>
      </w:r>
    </w:p>
    <w:p w14:paraId="19B17A2A" w14:textId="77777777" w:rsidR="00424EDD" w:rsidRDefault="006036D7" w:rsidP="00424EDD">
      <w:pPr>
        <w:pStyle w:val="Default"/>
        <w:rPr>
          <w:sz w:val="22"/>
          <w:szCs w:val="22"/>
        </w:rPr>
      </w:pPr>
      <w:r>
        <w:rPr>
          <w:sz w:val="22"/>
          <w:szCs w:val="22"/>
        </w:rPr>
        <w:t>Culture is reported as the identity of any significant fungi isolated, estimation of am</w:t>
      </w:r>
      <w:r>
        <w:rPr>
          <w:sz w:val="22"/>
          <w:szCs w:val="22"/>
        </w:rPr>
        <w:t xml:space="preserve">ount of fungal growth (+,++,+++) where relevant. </w:t>
      </w:r>
    </w:p>
    <w:p w14:paraId="48A84AE4" w14:textId="77777777" w:rsidR="00424EDD" w:rsidRDefault="006036D7" w:rsidP="00424EDD">
      <w:pPr>
        <w:pStyle w:val="Default"/>
        <w:rPr>
          <w:sz w:val="22"/>
          <w:szCs w:val="22"/>
        </w:rPr>
      </w:pPr>
      <w:r>
        <w:rPr>
          <w:i/>
          <w:iCs/>
          <w:sz w:val="22"/>
          <w:szCs w:val="22"/>
        </w:rPr>
        <w:t xml:space="preserve">Limitations: </w:t>
      </w:r>
      <w:r>
        <w:rPr>
          <w:sz w:val="22"/>
          <w:szCs w:val="22"/>
        </w:rPr>
        <w:t xml:space="preserve">Negative fungal culture does not exclude a diagnosis of fungal infection but reduces its likelihood. Depending on the fungus isolated, positive results may indicate contamination. Clinical correlation of results is required. </w:t>
      </w:r>
    </w:p>
    <w:p w14:paraId="7B4DD80E" w14:textId="77777777" w:rsidR="00424EDD" w:rsidRDefault="006036D7" w:rsidP="00424EDD">
      <w:pPr>
        <w:pStyle w:val="Default"/>
        <w:rPr>
          <w:b/>
          <w:bCs/>
          <w:sz w:val="22"/>
          <w:szCs w:val="22"/>
        </w:rPr>
      </w:pPr>
      <w:r>
        <w:rPr>
          <w:b/>
          <w:bCs/>
          <w:sz w:val="22"/>
          <w:szCs w:val="22"/>
        </w:rPr>
        <w:t>95% Turnaround Time: Microscop</w:t>
      </w:r>
      <w:r>
        <w:rPr>
          <w:b/>
          <w:bCs/>
          <w:sz w:val="22"/>
          <w:szCs w:val="22"/>
        </w:rPr>
        <w:t>y: 7 da</w:t>
      </w:r>
      <w:r w:rsidR="00C0110B">
        <w:rPr>
          <w:b/>
          <w:bCs/>
          <w:sz w:val="22"/>
          <w:szCs w:val="22"/>
        </w:rPr>
        <w:t>ys; Culture: 24</w:t>
      </w:r>
      <w:r w:rsidR="00A34645">
        <w:rPr>
          <w:b/>
          <w:bCs/>
          <w:sz w:val="22"/>
          <w:szCs w:val="22"/>
        </w:rPr>
        <w:t xml:space="preserve"> days (Positive cultures may </w:t>
      </w:r>
      <w:r>
        <w:rPr>
          <w:b/>
          <w:bCs/>
          <w:sz w:val="22"/>
          <w:szCs w:val="22"/>
        </w:rPr>
        <w:t xml:space="preserve">take longer to report than negatives). </w:t>
      </w:r>
    </w:p>
    <w:p w14:paraId="74667902" w14:textId="77777777" w:rsidR="00952608" w:rsidRDefault="00952608" w:rsidP="00424EDD">
      <w:pPr>
        <w:pStyle w:val="Default"/>
        <w:rPr>
          <w:sz w:val="22"/>
          <w:szCs w:val="22"/>
        </w:rPr>
      </w:pPr>
    </w:p>
    <w:p w14:paraId="1A3D3F89" w14:textId="77777777" w:rsidR="00424EDD" w:rsidRDefault="006036D7" w:rsidP="00424EDD">
      <w:pPr>
        <w:pStyle w:val="Default"/>
        <w:rPr>
          <w:sz w:val="22"/>
          <w:szCs w:val="22"/>
        </w:rPr>
      </w:pPr>
      <w:r>
        <w:rPr>
          <w:b/>
          <w:bCs/>
          <w:sz w:val="22"/>
          <w:szCs w:val="22"/>
        </w:rPr>
        <w:t xml:space="preserve">Identification and Antifungal Susceptibility Testing </w:t>
      </w:r>
    </w:p>
    <w:p w14:paraId="3ABB1D59" w14:textId="77777777" w:rsidR="00424EDD" w:rsidRDefault="006036D7" w:rsidP="00424EDD">
      <w:pPr>
        <w:pStyle w:val="Default"/>
        <w:rPr>
          <w:sz w:val="22"/>
          <w:szCs w:val="22"/>
        </w:rPr>
      </w:pPr>
      <w:r>
        <w:rPr>
          <w:b/>
          <w:bCs/>
          <w:sz w:val="22"/>
          <w:szCs w:val="22"/>
        </w:rPr>
        <w:t xml:space="preserve">Yeast identification and sensitivity </w:t>
      </w:r>
    </w:p>
    <w:p w14:paraId="3761AA1C" w14:textId="77777777" w:rsidR="00424EDD" w:rsidRDefault="006036D7" w:rsidP="00424EDD">
      <w:pPr>
        <w:pStyle w:val="Default"/>
        <w:rPr>
          <w:sz w:val="22"/>
          <w:szCs w:val="22"/>
        </w:rPr>
      </w:pPr>
      <w:r>
        <w:rPr>
          <w:i/>
          <w:iCs/>
          <w:sz w:val="22"/>
          <w:szCs w:val="22"/>
        </w:rPr>
        <w:t xml:space="preserve">Use(s): </w:t>
      </w:r>
      <w:r>
        <w:rPr>
          <w:sz w:val="22"/>
          <w:szCs w:val="22"/>
        </w:rPr>
        <w:t>Identification of yeasts and assessment of susceptibility to ant</w:t>
      </w:r>
      <w:r>
        <w:rPr>
          <w:sz w:val="22"/>
          <w:szCs w:val="22"/>
        </w:rPr>
        <w:t xml:space="preserve">ifungals </w:t>
      </w:r>
    </w:p>
    <w:p w14:paraId="38C7D8A7" w14:textId="77777777" w:rsidR="00424EDD" w:rsidRDefault="006036D7" w:rsidP="00424EDD">
      <w:pPr>
        <w:pStyle w:val="Default"/>
        <w:rPr>
          <w:sz w:val="22"/>
          <w:szCs w:val="22"/>
        </w:rPr>
      </w:pPr>
      <w:r>
        <w:rPr>
          <w:i/>
          <w:iCs/>
          <w:sz w:val="22"/>
          <w:szCs w:val="22"/>
        </w:rPr>
        <w:t xml:space="preserve">Description: </w:t>
      </w:r>
      <w:r>
        <w:rPr>
          <w:sz w:val="22"/>
          <w:szCs w:val="22"/>
        </w:rPr>
        <w:t xml:space="preserve">Identification, usually to species level using MALDI-TOF. Molecular identification is carried out for those isolates which cannot be identified using phenotypic tests. </w:t>
      </w:r>
    </w:p>
    <w:p w14:paraId="65CF4865" w14:textId="77777777" w:rsidR="00424EDD" w:rsidRDefault="006036D7" w:rsidP="00424EDD">
      <w:pPr>
        <w:pStyle w:val="Default"/>
        <w:rPr>
          <w:sz w:val="22"/>
          <w:szCs w:val="22"/>
        </w:rPr>
      </w:pPr>
      <w:r>
        <w:rPr>
          <w:sz w:val="22"/>
          <w:szCs w:val="22"/>
        </w:rPr>
        <w:t>Susceptibility testing by CLSI M44A disc diffusion (fluconazole)</w:t>
      </w:r>
      <w:r>
        <w:rPr>
          <w:sz w:val="22"/>
          <w:szCs w:val="22"/>
        </w:rPr>
        <w:t xml:space="preserve"> or microbroth dilution (fluconazole, itraconazole, voriconazole, posaconazole, amphotericin B, flucytosine, caspofungin, anidulafungin and micafungin). Specific antifungal(s) tested depend on the identity and source of the isolate and the clinical details</w:t>
      </w:r>
      <w:r>
        <w:rPr>
          <w:sz w:val="22"/>
          <w:szCs w:val="22"/>
        </w:rPr>
        <w:t xml:space="preserve"> supplied. Microbroth dilution testing is undertaken where indicated by isolate identity, disc diffusion results, or where requested specifically. The identity of the yeast isolate is always confirmed or carried out on isolates sent for sensitivity testing</w:t>
      </w:r>
      <w:r>
        <w:rPr>
          <w:sz w:val="22"/>
          <w:szCs w:val="22"/>
        </w:rPr>
        <w:t xml:space="preserve">. </w:t>
      </w:r>
    </w:p>
    <w:p w14:paraId="5C1940B4" w14:textId="77777777" w:rsidR="00424EDD" w:rsidRDefault="006036D7" w:rsidP="00424EDD">
      <w:pPr>
        <w:pStyle w:val="Default"/>
        <w:rPr>
          <w:sz w:val="22"/>
          <w:szCs w:val="22"/>
        </w:rPr>
      </w:pPr>
      <w:r>
        <w:rPr>
          <w:i/>
          <w:iCs/>
          <w:sz w:val="22"/>
          <w:szCs w:val="22"/>
        </w:rPr>
        <w:t xml:space="preserve">Specimens: </w:t>
      </w:r>
      <w:r>
        <w:rPr>
          <w:sz w:val="22"/>
          <w:szCs w:val="22"/>
        </w:rPr>
        <w:t xml:space="preserve">Culture of yeast, ideally on a Sabouraud's agar slope in a bijou or universal. </w:t>
      </w:r>
    </w:p>
    <w:p w14:paraId="4FD41673" w14:textId="77777777" w:rsidR="00424EDD" w:rsidRDefault="006036D7" w:rsidP="00424EDD">
      <w:pPr>
        <w:pStyle w:val="Default"/>
        <w:rPr>
          <w:sz w:val="22"/>
          <w:szCs w:val="22"/>
        </w:rPr>
      </w:pPr>
      <w:r>
        <w:rPr>
          <w:i/>
          <w:iCs/>
          <w:sz w:val="22"/>
          <w:szCs w:val="22"/>
        </w:rPr>
        <w:t xml:space="preserve">Results: </w:t>
      </w:r>
      <w:r>
        <w:rPr>
          <w:sz w:val="22"/>
          <w:szCs w:val="22"/>
        </w:rPr>
        <w:t>Susceptible; Intermediate/Susceptible-dose dependent; Resistant/Non-susceptible (where breakpoints have been established). If microbroth dilution testing</w:t>
      </w:r>
      <w:r>
        <w:rPr>
          <w:sz w:val="22"/>
          <w:szCs w:val="22"/>
        </w:rPr>
        <w:t xml:space="preserve"> is carried out, a Minimum Inhibitory Concentration (MIC) can be reported on request. </w:t>
      </w:r>
    </w:p>
    <w:p w14:paraId="166E2A8C" w14:textId="77777777" w:rsidR="00424EDD" w:rsidRDefault="006036D7" w:rsidP="00424EDD">
      <w:pPr>
        <w:pStyle w:val="Default"/>
        <w:rPr>
          <w:sz w:val="22"/>
          <w:szCs w:val="22"/>
        </w:rPr>
      </w:pPr>
      <w:r>
        <w:rPr>
          <w:i/>
          <w:iCs/>
          <w:sz w:val="22"/>
          <w:szCs w:val="22"/>
        </w:rPr>
        <w:t xml:space="preserve">Limitations: In vitro </w:t>
      </w:r>
      <w:r>
        <w:rPr>
          <w:sz w:val="22"/>
          <w:szCs w:val="22"/>
        </w:rPr>
        <w:t xml:space="preserve">susceptibility to an antifungal agent does not guarantee clinical success with that agent, but makes clinical success more likely. </w:t>
      </w:r>
    </w:p>
    <w:p w14:paraId="1B62FE80" w14:textId="77777777" w:rsidR="00424EDD" w:rsidRDefault="006036D7" w:rsidP="00424EDD">
      <w:pPr>
        <w:pStyle w:val="Default"/>
        <w:rPr>
          <w:b/>
          <w:bCs/>
          <w:sz w:val="22"/>
          <w:szCs w:val="22"/>
        </w:rPr>
      </w:pPr>
      <w:r>
        <w:rPr>
          <w:b/>
          <w:bCs/>
          <w:sz w:val="22"/>
          <w:szCs w:val="22"/>
        </w:rPr>
        <w:t xml:space="preserve">95% Turnaround </w:t>
      </w:r>
      <w:r>
        <w:rPr>
          <w:b/>
          <w:bCs/>
          <w:sz w:val="22"/>
          <w:szCs w:val="22"/>
        </w:rPr>
        <w:t xml:space="preserve">Time: </w:t>
      </w:r>
      <w:r w:rsidR="00A34645">
        <w:rPr>
          <w:b/>
          <w:bCs/>
          <w:sz w:val="22"/>
          <w:szCs w:val="22"/>
        </w:rPr>
        <w:t>10</w:t>
      </w:r>
      <w:r w:rsidR="00D41997">
        <w:rPr>
          <w:b/>
          <w:bCs/>
          <w:sz w:val="22"/>
          <w:szCs w:val="22"/>
        </w:rPr>
        <w:t xml:space="preserve"> </w:t>
      </w:r>
      <w:r>
        <w:rPr>
          <w:b/>
          <w:bCs/>
          <w:sz w:val="22"/>
          <w:szCs w:val="22"/>
        </w:rPr>
        <w:t xml:space="preserve">days </w:t>
      </w:r>
    </w:p>
    <w:p w14:paraId="3FCA2C79" w14:textId="77777777" w:rsidR="00952608" w:rsidRDefault="00952608" w:rsidP="00424EDD">
      <w:pPr>
        <w:pStyle w:val="Default"/>
        <w:rPr>
          <w:sz w:val="22"/>
          <w:szCs w:val="22"/>
        </w:rPr>
      </w:pPr>
    </w:p>
    <w:p w14:paraId="4A18EBBB" w14:textId="77777777" w:rsidR="00424EDD" w:rsidRDefault="006036D7" w:rsidP="00424EDD">
      <w:pPr>
        <w:pStyle w:val="Default"/>
        <w:rPr>
          <w:sz w:val="22"/>
          <w:szCs w:val="22"/>
        </w:rPr>
      </w:pPr>
      <w:r>
        <w:rPr>
          <w:b/>
          <w:bCs/>
          <w:sz w:val="22"/>
          <w:szCs w:val="22"/>
        </w:rPr>
        <w:t xml:space="preserve">Mould Identification </w:t>
      </w:r>
    </w:p>
    <w:p w14:paraId="3918539A" w14:textId="77777777" w:rsidR="00424EDD" w:rsidRDefault="006036D7" w:rsidP="00424EDD">
      <w:pPr>
        <w:pStyle w:val="Default"/>
        <w:rPr>
          <w:sz w:val="22"/>
          <w:szCs w:val="22"/>
        </w:rPr>
      </w:pPr>
      <w:r>
        <w:rPr>
          <w:i/>
          <w:iCs/>
          <w:sz w:val="22"/>
          <w:szCs w:val="22"/>
        </w:rPr>
        <w:t xml:space="preserve">Use(s): </w:t>
      </w:r>
      <w:r>
        <w:rPr>
          <w:sz w:val="22"/>
          <w:szCs w:val="22"/>
        </w:rPr>
        <w:t xml:space="preserve">Identification of moulds </w:t>
      </w:r>
    </w:p>
    <w:p w14:paraId="754C1FA5" w14:textId="77777777" w:rsidR="00424EDD" w:rsidRDefault="006036D7" w:rsidP="00424EDD">
      <w:pPr>
        <w:pStyle w:val="Default"/>
        <w:rPr>
          <w:sz w:val="22"/>
          <w:szCs w:val="22"/>
        </w:rPr>
      </w:pPr>
      <w:r>
        <w:rPr>
          <w:i/>
          <w:iCs/>
          <w:sz w:val="22"/>
          <w:szCs w:val="22"/>
        </w:rPr>
        <w:lastRenderedPageBreak/>
        <w:t xml:space="preserve">Description: </w:t>
      </w:r>
      <w:r>
        <w:rPr>
          <w:sz w:val="22"/>
          <w:szCs w:val="22"/>
        </w:rPr>
        <w:t>Identification, usually to species level on the basis of macroscopic and microscopic morphology. Molecular identification is carried out for those isolates which cannot be</w:t>
      </w:r>
      <w:r>
        <w:rPr>
          <w:sz w:val="22"/>
          <w:szCs w:val="22"/>
        </w:rPr>
        <w:t xml:space="preserve"> identified using phenotypic tests. </w:t>
      </w:r>
    </w:p>
    <w:p w14:paraId="046701F1" w14:textId="77777777" w:rsidR="00424EDD" w:rsidRDefault="006036D7" w:rsidP="00424EDD">
      <w:pPr>
        <w:pStyle w:val="Default"/>
        <w:rPr>
          <w:sz w:val="22"/>
          <w:szCs w:val="22"/>
        </w:rPr>
      </w:pPr>
      <w:r>
        <w:rPr>
          <w:i/>
          <w:iCs/>
          <w:sz w:val="22"/>
          <w:szCs w:val="22"/>
        </w:rPr>
        <w:t xml:space="preserve">Specimens: </w:t>
      </w:r>
      <w:r>
        <w:rPr>
          <w:sz w:val="22"/>
          <w:szCs w:val="22"/>
        </w:rPr>
        <w:t xml:space="preserve">Culture of mould, ideally on a Sabouraud's agar slope in a bijou or universal. </w:t>
      </w:r>
    </w:p>
    <w:p w14:paraId="7EC23DE8" w14:textId="77777777" w:rsidR="00424EDD" w:rsidRDefault="006036D7" w:rsidP="00424EDD">
      <w:pPr>
        <w:pStyle w:val="Default"/>
        <w:rPr>
          <w:sz w:val="22"/>
          <w:szCs w:val="22"/>
        </w:rPr>
      </w:pPr>
      <w:r>
        <w:rPr>
          <w:i/>
          <w:iCs/>
          <w:sz w:val="22"/>
          <w:szCs w:val="22"/>
        </w:rPr>
        <w:t xml:space="preserve">Results: </w:t>
      </w:r>
      <w:r>
        <w:rPr>
          <w:sz w:val="22"/>
          <w:szCs w:val="22"/>
        </w:rPr>
        <w:t xml:space="preserve">Identity of the mould. </w:t>
      </w:r>
    </w:p>
    <w:p w14:paraId="7CCDF8CB" w14:textId="77777777" w:rsidR="00424EDD" w:rsidRDefault="006036D7" w:rsidP="00424EDD">
      <w:pPr>
        <w:pStyle w:val="Default"/>
        <w:rPr>
          <w:sz w:val="22"/>
          <w:szCs w:val="22"/>
        </w:rPr>
      </w:pPr>
      <w:r>
        <w:rPr>
          <w:i/>
          <w:iCs/>
          <w:sz w:val="22"/>
          <w:szCs w:val="22"/>
        </w:rPr>
        <w:t xml:space="preserve">Limitations: </w:t>
      </w:r>
      <w:r>
        <w:rPr>
          <w:sz w:val="22"/>
          <w:szCs w:val="22"/>
        </w:rPr>
        <w:t xml:space="preserve">If insufficient phenotypic and/or genotypic information is available for species identification moulds may be identified to genus level only. </w:t>
      </w:r>
    </w:p>
    <w:p w14:paraId="04CE8C58" w14:textId="77777777" w:rsidR="00424EDD" w:rsidRDefault="006036D7" w:rsidP="00424EDD">
      <w:pPr>
        <w:pStyle w:val="Default"/>
        <w:rPr>
          <w:b/>
          <w:bCs/>
          <w:sz w:val="22"/>
          <w:szCs w:val="22"/>
        </w:rPr>
      </w:pPr>
      <w:r>
        <w:rPr>
          <w:b/>
          <w:bCs/>
          <w:sz w:val="22"/>
          <w:szCs w:val="22"/>
        </w:rPr>
        <w:t xml:space="preserve">95% Turnaround Time: </w:t>
      </w:r>
      <w:r w:rsidR="00C0110B">
        <w:rPr>
          <w:b/>
          <w:bCs/>
          <w:sz w:val="22"/>
          <w:szCs w:val="22"/>
        </w:rPr>
        <w:t>14</w:t>
      </w:r>
      <w:r>
        <w:rPr>
          <w:b/>
          <w:bCs/>
          <w:sz w:val="22"/>
          <w:szCs w:val="22"/>
        </w:rPr>
        <w:t xml:space="preserve"> days </w:t>
      </w:r>
    </w:p>
    <w:p w14:paraId="02EAC48B" w14:textId="77777777" w:rsidR="00952608" w:rsidRDefault="00952608" w:rsidP="00424EDD">
      <w:pPr>
        <w:pStyle w:val="Default"/>
        <w:rPr>
          <w:sz w:val="22"/>
          <w:szCs w:val="22"/>
        </w:rPr>
      </w:pPr>
    </w:p>
    <w:p w14:paraId="0382C14C" w14:textId="77777777" w:rsidR="00424EDD" w:rsidRDefault="006036D7" w:rsidP="00424EDD">
      <w:pPr>
        <w:pStyle w:val="Default"/>
        <w:rPr>
          <w:sz w:val="22"/>
          <w:szCs w:val="22"/>
        </w:rPr>
      </w:pPr>
      <w:r>
        <w:rPr>
          <w:b/>
          <w:bCs/>
          <w:sz w:val="22"/>
          <w:szCs w:val="22"/>
        </w:rPr>
        <w:t xml:space="preserve">Identification of environmental fungi </w:t>
      </w:r>
    </w:p>
    <w:p w14:paraId="4A3E27F3" w14:textId="77777777" w:rsidR="00424EDD" w:rsidRDefault="006036D7" w:rsidP="00424EDD">
      <w:pPr>
        <w:pStyle w:val="Default"/>
        <w:rPr>
          <w:sz w:val="22"/>
          <w:szCs w:val="22"/>
        </w:rPr>
      </w:pPr>
      <w:r>
        <w:rPr>
          <w:sz w:val="22"/>
          <w:szCs w:val="22"/>
        </w:rPr>
        <w:t>Identification of yeasts and moulds from en</w:t>
      </w:r>
      <w:r>
        <w:rPr>
          <w:sz w:val="22"/>
          <w:szCs w:val="22"/>
        </w:rPr>
        <w:t xml:space="preserve">vironmental sources can be carried out after discussing your requirement with the laboratory. Please contact Dr Richard Barton to discuss. </w:t>
      </w:r>
    </w:p>
    <w:p w14:paraId="4D8F6D9C" w14:textId="77777777" w:rsidR="00424EDD" w:rsidRPr="00F93378" w:rsidRDefault="006036D7" w:rsidP="00424EDD">
      <w:pPr>
        <w:rPr>
          <w:rFonts w:asciiTheme="minorHAnsi" w:hAnsiTheme="minorHAnsi" w:cstheme="minorHAnsi"/>
          <w:i/>
          <w:iCs/>
          <w:sz w:val="22"/>
        </w:rPr>
      </w:pPr>
      <w:r w:rsidRPr="00F93378">
        <w:rPr>
          <w:rFonts w:asciiTheme="minorHAnsi" w:hAnsiTheme="minorHAnsi" w:cstheme="minorHAnsi"/>
          <w:i/>
          <w:iCs/>
          <w:sz w:val="22"/>
        </w:rPr>
        <w:t xml:space="preserve">Note: Culture of environmental specimens is carried out by prior arrangement and on medical or environmental health </w:t>
      </w:r>
      <w:r w:rsidRPr="00F93378">
        <w:rPr>
          <w:rFonts w:asciiTheme="minorHAnsi" w:hAnsiTheme="minorHAnsi" w:cstheme="minorHAnsi"/>
          <w:i/>
          <w:iCs/>
          <w:sz w:val="22"/>
        </w:rPr>
        <w:t>referral only. Costs are dependent on the extent and complexity of the investigations.</w:t>
      </w:r>
    </w:p>
    <w:p w14:paraId="126CCA26" w14:textId="77777777" w:rsidR="00952608" w:rsidRDefault="00952608" w:rsidP="00424EDD">
      <w:pPr>
        <w:pStyle w:val="Default"/>
        <w:rPr>
          <w:sz w:val="22"/>
          <w:szCs w:val="22"/>
        </w:rPr>
      </w:pPr>
    </w:p>
    <w:p w14:paraId="7293CA6D" w14:textId="77777777" w:rsidR="00424EDD" w:rsidRDefault="006036D7" w:rsidP="00424EDD">
      <w:pPr>
        <w:pStyle w:val="Default"/>
        <w:rPr>
          <w:b/>
          <w:bCs/>
          <w:sz w:val="22"/>
          <w:szCs w:val="22"/>
        </w:rPr>
      </w:pPr>
      <w:r>
        <w:rPr>
          <w:b/>
          <w:bCs/>
          <w:i/>
          <w:iCs/>
          <w:sz w:val="22"/>
          <w:szCs w:val="22"/>
        </w:rPr>
        <w:t xml:space="preserve">Aspergillus fumigatus, Avian and Farmer’s Lung </w:t>
      </w:r>
      <w:r w:rsidR="00952608">
        <w:rPr>
          <w:b/>
          <w:bCs/>
          <w:sz w:val="22"/>
          <w:szCs w:val="22"/>
        </w:rPr>
        <w:t>a</w:t>
      </w:r>
      <w:r>
        <w:rPr>
          <w:b/>
          <w:bCs/>
          <w:sz w:val="22"/>
          <w:szCs w:val="22"/>
        </w:rPr>
        <w:t xml:space="preserve">ntibodies </w:t>
      </w:r>
    </w:p>
    <w:p w14:paraId="2AC9A166" w14:textId="77777777" w:rsidR="00186D79" w:rsidRPr="00186D79" w:rsidRDefault="006036D7" w:rsidP="00424EDD">
      <w:pPr>
        <w:pStyle w:val="Default"/>
        <w:rPr>
          <w:sz w:val="22"/>
          <w:szCs w:val="22"/>
        </w:rPr>
      </w:pPr>
      <w:r>
        <w:rPr>
          <w:bCs/>
          <w:sz w:val="22"/>
          <w:szCs w:val="22"/>
        </w:rPr>
        <w:t xml:space="preserve">All the above antibody tests are </w:t>
      </w:r>
      <w:r>
        <w:rPr>
          <w:rFonts w:asciiTheme="minorHAnsi" w:hAnsiTheme="minorHAnsi"/>
          <w:bCs/>
          <w:sz w:val="22"/>
        </w:rPr>
        <w:t>are processed and reported by Immunology (0113 3922587).</w:t>
      </w:r>
      <w:r w:rsidRPr="00186D79">
        <w:rPr>
          <w:rFonts w:asciiTheme="minorHAnsi" w:hAnsiTheme="minorHAnsi"/>
          <w:bCs/>
          <w:sz w:val="22"/>
        </w:rPr>
        <w:t xml:space="preserve"> </w:t>
      </w:r>
      <w:r>
        <w:rPr>
          <w:rFonts w:asciiTheme="minorHAnsi" w:hAnsiTheme="minorHAnsi"/>
          <w:bCs/>
          <w:sz w:val="22"/>
        </w:rPr>
        <w:t xml:space="preserve">Please contact the </w:t>
      </w:r>
      <w:r>
        <w:rPr>
          <w:rFonts w:asciiTheme="minorHAnsi" w:hAnsiTheme="minorHAnsi"/>
          <w:bCs/>
          <w:sz w:val="22"/>
        </w:rPr>
        <w:t>MRC if further information or clinical advice is required.</w:t>
      </w:r>
    </w:p>
    <w:p w14:paraId="14418BD1" w14:textId="77777777" w:rsidR="008C17CE" w:rsidRPr="00186D79" w:rsidRDefault="006036D7" w:rsidP="00186D79">
      <w:pPr>
        <w:pStyle w:val="Default"/>
        <w:rPr>
          <w:sz w:val="22"/>
          <w:szCs w:val="22"/>
        </w:rPr>
      </w:pPr>
      <w:r>
        <w:rPr>
          <w:i/>
          <w:iCs/>
          <w:sz w:val="22"/>
          <w:szCs w:val="22"/>
        </w:rPr>
        <w:t>Note: For antibody tests, please send serum or clotted blood in a plain tube; EDTA blood is not suitable</w:t>
      </w:r>
      <w:r>
        <w:rPr>
          <w:sz w:val="22"/>
          <w:szCs w:val="22"/>
        </w:rPr>
        <w:t xml:space="preserve">. </w:t>
      </w:r>
    </w:p>
    <w:p w14:paraId="319D8886" w14:textId="77777777" w:rsidR="00F14340" w:rsidRDefault="00F14340" w:rsidP="00424EDD">
      <w:pPr>
        <w:pStyle w:val="Default"/>
        <w:rPr>
          <w:sz w:val="22"/>
          <w:szCs w:val="22"/>
        </w:rPr>
      </w:pPr>
    </w:p>
    <w:p w14:paraId="038B4DFB" w14:textId="77777777" w:rsidR="00424EDD" w:rsidRDefault="006036D7" w:rsidP="00424EDD">
      <w:pPr>
        <w:pStyle w:val="Default"/>
        <w:rPr>
          <w:sz w:val="22"/>
          <w:szCs w:val="22"/>
        </w:rPr>
      </w:pPr>
      <w:r>
        <w:rPr>
          <w:b/>
          <w:bCs/>
          <w:i/>
          <w:iCs/>
          <w:sz w:val="22"/>
          <w:szCs w:val="22"/>
        </w:rPr>
        <w:t xml:space="preserve">Histoplasma </w:t>
      </w:r>
      <w:r w:rsidR="001860EA">
        <w:rPr>
          <w:b/>
          <w:bCs/>
          <w:sz w:val="22"/>
          <w:szCs w:val="22"/>
        </w:rPr>
        <w:t xml:space="preserve">, </w:t>
      </w:r>
      <w:r>
        <w:rPr>
          <w:b/>
          <w:bCs/>
          <w:i/>
          <w:iCs/>
          <w:sz w:val="22"/>
          <w:szCs w:val="22"/>
        </w:rPr>
        <w:t>Coccidioides</w:t>
      </w:r>
      <w:r w:rsidR="001860EA">
        <w:rPr>
          <w:b/>
          <w:bCs/>
          <w:i/>
          <w:iCs/>
          <w:sz w:val="22"/>
          <w:szCs w:val="22"/>
        </w:rPr>
        <w:t>, Paracoccidioides and Blastomyces</w:t>
      </w:r>
      <w:r>
        <w:rPr>
          <w:b/>
          <w:bCs/>
          <w:i/>
          <w:iCs/>
          <w:sz w:val="22"/>
          <w:szCs w:val="22"/>
        </w:rPr>
        <w:t xml:space="preserve"> </w:t>
      </w:r>
      <w:r>
        <w:rPr>
          <w:b/>
          <w:bCs/>
          <w:sz w:val="22"/>
          <w:szCs w:val="22"/>
        </w:rPr>
        <w:t xml:space="preserve">Antibodies </w:t>
      </w:r>
    </w:p>
    <w:p w14:paraId="123B4CBC" w14:textId="77777777" w:rsidR="00186D79" w:rsidRPr="00360A73" w:rsidRDefault="006036D7" w:rsidP="00186D79">
      <w:pPr>
        <w:rPr>
          <w:rFonts w:asciiTheme="minorHAnsi" w:hAnsiTheme="minorHAnsi"/>
          <w:bCs/>
          <w:sz w:val="22"/>
        </w:rPr>
      </w:pPr>
      <w:r>
        <w:rPr>
          <w:rFonts w:asciiTheme="minorHAnsi" w:hAnsiTheme="minorHAnsi"/>
          <w:bCs/>
          <w:sz w:val="22"/>
        </w:rPr>
        <w:t xml:space="preserve">These tests are currently out of scope of UKAS ISO 15189:2012 accreditation. </w:t>
      </w:r>
    </w:p>
    <w:p w14:paraId="07FB84C5" w14:textId="77777777" w:rsidR="001860EA" w:rsidRDefault="006036D7" w:rsidP="00424EDD">
      <w:pPr>
        <w:pStyle w:val="Default"/>
        <w:rPr>
          <w:iCs/>
          <w:sz w:val="22"/>
          <w:szCs w:val="22"/>
        </w:rPr>
      </w:pPr>
      <w:r>
        <w:rPr>
          <w:iCs/>
          <w:sz w:val="22"/>
          <w:szCs w:val="22"/>
        </w:rPr>
        <w:t xml:space="preserve">Specimens received from within Leeds Teaching Hospitals trust are referred to Bristol Mycology Reference Laboratory for testing. </w:t>
      </w:r>
    </w:p>
    <w:p w14:paraId="57211D15" w14:textId="77777777" w:rsidR="00360A73" w:rsidRPr="001860EA" w:rsidRDefault="006036D7" w:rsidP="00360A73">
      <w:pPr>
        <w:pStyle w:val="Default"/>
        <w:rPr>
          <w:iCs/>
          <w:sz w:val="22"/>
          <w:szCs w:val="22"/>
        </w:rPr>
      </w:pPr>
      <w:r>
        <w:rPr>
          <w:iCs/>
          <w:sz w:val="22"/>
          <w:szCs w:val="22"/>
        </w:rPr>
        <w:t>Please contact the laboratory if further informa</w:t>
      </w:r>
      <w:r>
        <w:rPr>
          <w:iCs/>
          <w:sz w:val="22"/>
          <w:szCs w:val="22"/>
        </w:rPr>
        <w:t>tion or advice is required.</w:t>
      </w:r>
    </w:p>
    <w:p w14:paraId="2C658C37" w14:textId="77777777" w:rsidR="001860EA" w:rsidRDefault="001860EA" w:rsidP="00424EDD">
      <w:pPr>
        <w:pStyle w:val="Default"/>
        <w:rPr>
          <w:iCs/>
          <w:sz w:val="22"/>
          <w:szCs w:val="22"/>
        </w:rPr>
      </w:pPr>
    </w:p>
    <w:p w14:paraId="4EC0EECC" w14:textId="77777777" w:rsidR="001860EA" w:rsidRDefault="006036D7" w:rsidP="00424EDD">
      <w:pPr>
        <w:pStyle w:val="Default"/>
        <w:rPr>
          <w:iCs/>
          <w:sz w:val="22"/>
          <w:szCs w:val="22"/>
        </w:rPr>
      </w:pPr>
      <w:r>
        <w:rPr>
          <w:iCs/>
          <w:sz w:val="22"/>
          <w:szCs w:val="22"/>
        </w:rPr>
        <w:t>External users</w:t>
      </w:r>
      <w:r w:rsidR="008C17CE">
        <w:rPr>
          <w:iCs/>
          <w:sz w:val="22"/>
          <w:szCs w:val="22"/>
        </w:rPr>
        <w:t xml:space="preserve"> (excluding those with a specific SLA)</w:t>
      </w:r>
      <w:r>
        <w:rPr>
          <w:iCs/>
          <w:sz w:val="22"/>
          <w:szCs w:val="22"/>
        </w:rPr>
        <w:t xml:space="preserve"> should send specimens and requests directly to Bristol.</w:t>
      </w:r>
    </w:p>
    <w:p w14:paraId="5A95F9A0" w14:textId="77777777" w:rsidR="001860EA" w:rsidRDefault="001860EA" w:rsidP="00424EDD">
      <w:pPr>
        <w:pStyle w:val="Default"/>
        <w:rPr>
          <w:b/>
          <w:bCs/>
          <w:i/>
          <w:iCs/>
          <w:sz w:val="22"/>
          <w:szCs w:val="22"/>
        </w:rPr>
      </w:pPr>
    </w:p>
    <w:p w14:paraId="46965015" w14:textId="77777777" w:rsidR="00424EDD" w:rsidRDefault="006036D7" w:rsidP="00424EDD">
      <w:pPr>
        <w:pStyle w:val="Default"/>
        <w:rPr>
          <w:sz w:val="22"/>
          <w:szCs w:val="22"/>
        </w:rPr>
      </w:pPr>
      <w:r>
        <w:rPr>
          <w:b/>
          <w:bCs/>
          <w:sz w:val="22"/>
          <w:szCs w:val="22"/>
        </w:rPr>
        <w:t xml:space="preserve">Antigen Testing </w:t>
      </w:r>
    </w:p>
    <w:p w14:paraId="0F8B111F" w14:textId="77777777" w:rsidR="00424EDD" w:rsidRDefault="006036D7" w:rsidP="00424EDD">
      <w:pPr>
        <w:pStyle w:val="Default"/>
        <w:rPr>
          <w:sz w:val="22"/>
          <w:szCs w:val="22"/>
        </w:rPr>
      </w:pPr>
      <w:r>
        <w:rPr>
          <w:i/>
          <w:iCs/>
          <w:sz w:val="22"/>
          <w:szCs w:val="22"/>
        </w:rPr>
        <w:t>Note: For the following tests, please send serum or clotted blood in a plain tube; EDTA blood is not</w:t>
      </w:r>
      <w:r>
        <w:rPr>
          <w:i/>
          <w:iCs/>
          <w:sz w:val="22"/>
          <w:szCs w:val="22"/>
        </w:rPr>
        <w:t xml:space="preserve"> suitable</w:t>
      </w:r>
      <w:r>
        <w:rPr>
          <w:sz w:val="22"/>
          <w:szCs w:val="22"/>
        </w:rPr>
        <w:t xml:space="preserve">. </w:t>
      </w:r>
    </w:p>
    <w:p w14:paraId="651C7D6B" w14:textId="77777777" w:rsidR="00F14340" w:rsidRDefault="00F14340" w:rsidP="00424EDD">
      <w:pPr>
        <w:pStyle w:val="Default"/>
        <w:rPr>
          <w:sz w:val="22"/>
          <w:szCs w:val="22"/>
        </w:rPr>
      </w:pPr>
    </w:p>
    <w:p w14:paraId="110463B1" w14:textId="77777777" w:rsidR="00424EDD" w:rsidRDefault="006036D7" w:rsidP="00424EDD">
      <w:pPr>
        <w:pStyle w:val="Default"/>
        <w:rPr>
          <w:sz w:val="22"/>
          <w:szCs w:val="22"/>
        </w:rPr>
      </w:pPr>
      <w:r>
        <w:rPr>
          <w:b/>
          <w:bCs/>
          <w:i/>
          <w:iCs/>
          <w:sz w:val="22"/>
          <w:szCs w:val="22"/>
        </w:rPr>
        <w:t xml:space="preserve">Aspergillus </w:t>
      </w:r>
      <w:r>
        <w:rPr>
          <w:b/>
          <w:bCs/>
          <w:sz w:val="22"/>
          <w:szCs w:val="22"/>
        </w:rPr>
        <w:t xml:space="preserve">Antigen (Galactomannan) </w:t>
      </w:r>
    </w:p>
    <w:p w14:paraId="70712D67" w14:textId="77777777" w:rsidR="00424EDD" w:rsidRDefault="006036D7" w:rsidP="00424EDD">
      <w:pPr>
        <w:pStyle w:val="Default"/>
        <w:rPr>
          <w:sz w:val="22"/>
          <w:szCs w:val="22"/>
        </w:rPr>
      </w:pPr>
      <w:r>
        <w:rPr>
          <w:i/>
          <w:iCs/>
          <w:sz w:val="22"/>
          <w:szCs w:val="22"/>
        </w:rPr>
        <w:t>Use(s)</w:t>
      </w:r>
      <w:r>
        <w:rPr>
          <w:sz w:val="22"/>
          <w:szCs w:val="22"/>
        </w:rPr>
        <w:t xml:space="preserve">: Diagnosis of invasive aspergillosis usually in immunocompromised patients. </w:t>
      </w:r>
    </w:p>
    <w:p w14:paraId="40E7B9C9" w14:textId="77777777" w:rsidR="00424EDD" w:rsidRDefault="006036D7" w:rsidP="00424EDD">
      <w:pPr>
        <w:pStyle w:val="Default"/>
        <w:rPr>
          <w:sz w:val="22"/>
          <w:szCs w:val="22"/>
        </w:rPr>
      </w:pPr>
      <w:r>
        <w:rPr>
          <w:i/>
          <w:iCs/>
          <w:sz w:val="22"/>
          <w:szCs w:val="22"/>
        </w:rPr>
        <w:t>Description</w:t>
      </w:r>
      <w:r>
        <w:rPr>
          <w:sz w:val="22"/>
          <w:szCs w:val="22"/>
        </w:rPr>
        <w:t xml:space="preserve">: Determination of the presence of </w:t>
      </w:r>
      <w:r>
        <w:rPr>
          <w:i/>
          <w:iCs/>
          <w:sz w:val="22"/>
          <w:szCs w:val="22"/>
        </w:rPr>
        <w:t xml:space="preserve">Aspergillus </w:t>
      </w:r>
      <w:r>
        <w:rPr>
          <w:sz w:val="22"/>
          <w:szCs w:val="22"/>
        </w:rPr>
        <w:t xml:space="preserve">galactomannan in serum or BAL by ELISA. </w:t>
      </w:r>
    </w:p>
    <w:p w14:paraId="14CF271E" w14:textId="77777777" w:rsidR="00424EDD" w:rsidRDefault="006036D7" w:rsidP="00424EDD">
      <w:pPr>
        <w:pStyle w:val="Default"/>
        <w:rPr>
          <w:sz w:val="22"/>
          <w:szCs w:val="22"/>
        </w:rPr>
      </w:pPr>
      <w:r>
        <w:rPr>
          <w:i/>
          <w:iCs/>
          <w:sz w:val="22"/>
          <w:szCs w:val="22"/>
        </w:rPr>
        <w:t xml:space="preserve">Specimens: </w:t>
      </w:r>
      <w:r w:rsidRPr="00465B87">
        <w:rPr>
          <w:iCs/>
          <w:sz w:val="22"/>
          <w:szCs w:val="22"/>
        </w:rPr>
        <w:t>Serum or BAL</w:t>
      </w:r>
      <w:r w:rsidRPr="00465B87">
        <w:rPr>
          <w:iCs/>
          <w:sz w:val="22"/>
          <w:szCs w:val="22"/>
        </w:rPr>
        <w:t xml:space="preserve"> 700 μl minimum or 5 mL clotted blood. NB: For BAL samples, the referring laboratory must confirm that the sample has been tested and is negative for acid &amp; alcohol-fast bacilli.</w:t>
      </w:r>
      <w:r>
        <w:rPr>
          <w:i/>
          <w:iCs/>
          <w:sz w:val="22"/>
          <w:szCs w:val="22"/>
        </w:rPr>
        <w:t xml:space="preserve"> </w:t>
      </w:r>
    </w:p>
    <w:p w14:paraId="6A1C6E3B" w14:textId="77777777" w:rsidR="00424EDD" w:rsidRDefault="006036D7" w:rsidP="00424EDD">
      <w:pPr>
        <w:pStyle w:val="Default"/>
        <w:rPr>
          <w:sz w:val="22"/>
          <w:szCs w:val="22"/>
        </w:rPr>
      </w:pPr>
      <w:r>
        <w:rPr>
          <w:i/>
          <w:iCs/>
          <w:sz w:val="22"/>
          <w:szCs w:val="22"/>
        </w:rPr>
        <w:t>Results</w:t>
      </w:r>
      <w:r>
        <w:rPr>
          <w:sz w:val="22"/>
          <w:szCs w:val="22"/>
        </w:rPr>
        <w:t>: Negative; Positive with the index value (indicating the relative co</w:t>
      </w:r>
      <w:r>
        <w:rPr>
          <w:sz w:val="22"/>
          <w:szCs w:val="22"/>
        </w:rPr>
        <w:t xml:space="preserve">ncentration of galactomannan) </w:t>
      </w:r>
    </w:p>
    <w:p w14:paraId="5FBDC072" w14:textId="77777777" w:rsidR="00424EDD" w:rsidRDefault="006036D7" w:rsidP="00424EDD">
      <w:pPr>
        <w:pStyle w:val="Default"/>
        <w:rPr>
          <w:sz w:val="22"/>
          <w:szCs w:val="22"/>
        </w:rPr>
      </w:pPr>
      <w:r>
        <w:rPr>
          <w:i/>
          <w:iCs/>
          <w:sz w:val="22"/>
          <w:szCs w:val="22"/>
        </w:rPr>
        <w:t xml:space="preserve">Limitations: </w:t>
      </w:r>
      <w:r>
        <w:rPr>
          <w:sz w:val="22"/>
          <w:szCs w:val="22"/>
        </w:rPr>
        <w:t xml:space="preserve">A negative </w:t>
      </w:r>
      <w:r>
        <w:rPr>
          <w:i/>
          <w:iCs/>
          <w:sz w:val="22"/>
          <w:szCs w:val="22"/>
        </w:rPr>
        <w:t xml:space="preserve">Aspergillus </w:t>
      </w:r>
      <w:r>
        <w:rPr>
          <w:sz w:val="22"/>
          <w:szCs w:val="22"/>
        </w:rPr>
        <w:t xml:space="preserve">antigen result does not exclude a diagnosis of aspergillosis. False positive results have been associated with some batches of beta-lactam antibiotics (e.g. </w:t>
      </w:r>
      <w:r>
        <w:rPr>
          <w:sz w:val="22"/>
          <w:szCs w:val="22"/>
        </w:rPr>
        <w:t>piperacillin-tazobactam) and with testing babies in the neonatal period. Cross-reactive positive results may occur in patients with fungal infections other than aspergillosis (</w:t>
      </w:r>
      <w:r>
        <w:rPr>
          <w:i/>
          <w:iCs/>
          <w:sz w:val="22"/>
          <w:szCs w:val="22"/>
        </w:rPr>
        <w:t xml:space="preserve">e.g. </w:t>
      </w:r>
      <w:r>
        <w:rPr>
          <w:sz w:val="22"/>
          <w:szCs w:val="22"/>
        </w:rPr>
        <w:t xml:space="preserve">histoplasmosis). There is no universal agreement about appropriate cut off </w:t>
      </w:r>
      <w:r>
        <w:rPr>
          <w:sz w:val="22"/>
          <w:szCs w:val="22"/>
        </w:rPr>
        <w:t>levels for BAL samples</w:t>
      </w:r>
      <w:r w:rsidR="00186D79">
        <w:rPr>
          <w:sz w:val="22"/>
          <w:szCs w:val="22"/>
        </w:rPr>
        <w:t>, though the MRC applies a cutoff of &gt;1.0 to attribute significance</w:t>
      </w:r>
      <w:r>
        <w:rPr>
          <w:sz w:val="22"/>
          <w:szCs w:val="22"/>
        </w:rPr>
        <w:t xml:space="preserve">. </w:t>
      </w:r>
    </w:p>
    <w:p w14:paraId="0D8CCEA7" w14:textId="77777777" w:rsidR="00424EDD" w:rsidRDefault="006036D7" w:rsidP="00424EDD">
      <w:pPr>
        <w:pStyle w:val="Default"/>
        <w:rPr>
          <w:sz w:val="22"/>
          <w:szCs w:val="22"/>
        </w:rPr>
      </w:pPr>
      <w:r>
        <w:rPr>
          <w:b/>
          <w:bCs/>
          <w:sz w:val="22"/>
          <w:szCs w:val="22"/>
        </w:rPr>
        <w:t xml:space="preserve">95% Turnaround Time: 3 days </w:t>
      </w:r>
    </w:p>
    <w:p w14:paraId="6DE08C18" w14:textId="77777777" w:rsidR="00424EDD" w:rsidRPr="001A136A" w:rsidRDefault="006036D7" w:rsidP="00424EDD">
      <w:pPr>
        <w:rPr>
          <w:rFonts w:asciiTheme="minorHAnsi" w:hAnsiTheme="minorHAnsi" w:cstheme="minorHAnsi"/>
          <w:i/>
          <w:iCs/>
          <w:sz w:val="22"/>
        </w:rPr>
      </w:pPr>
      <w:r w:rsidRPr="001A136A">
        <w:rPr>
          <w:rFonts w:asciiTheme="minorHAnsi" w:hAnsiTheme="minorHAnsi" w:cstheme="minorHAnsi"/>
          <w:i/>
          <w:iCs/>
          <w:sz w:val="22"/>
        </w:rPr>
        <w:t xml:space="preserve">Note: Positive results are confirmed before reporting by re-testing the specimen submitted. To improve specificity positives should be </w:t>
      </w:r>
      <w:r w:rsidRPr="001A136A">
        <w:rPr>
          <w:rFonts w:asciiTheme="minorHAnsi" w:hAnsiTheme="minorHAnsi" w:cstheme="minorHAnsi"/>
          <w:i/>
          <w:iCs/>
          <w:sz w:val="22"/>
        </w:rPr>
        <w:t>confirmed by submission of a second specimen.</w:t>
      </w:r>
    </w:p>
    <w:p w14:paraId="5A6B7418" w14:textId="77777777" w:rsidR="00424EDD" w:rsidRDefault="00424EDD" w:rsidP="00424EDD">
      <w:pPr>
        <w:rPr>
          <w:rFonts w:ascii="Times New Roman" w:hAnsi="Times New Roman" w:cs="Times New Roman"/>
          <w:i/>
          <w:iCs/>
          <w:sz w:val="22"/>
        </w:rPr>
      </w:pPr>
    </w:p>
    <w:p w14:paraId="6751B4D4" w14:textId="77777777" w:rsidR="00424EDD" w:rsidRDefault="006036D7" w:rsidP="00424EDD">
      <w:pPr>
        <w:pStyle w:val="Default"/>
        <w:rPr>
          <w:sz w:val="22"/>
          <w:szCs w:val="22"/>
        </w:rPr>
      </w:pPr>
      <w:r>
        <w:rPr>
          <w:b/>
          <w:bCs/>
          <w:sz w:val="22"/>
          <w:szCs w:val="22"/>
        </w:rPr>
        <w:t xml:space="preserve">Cryptococcal antigen (CRAG) </w:t>
      </w:r>
    </w:p>
    <w:p w14:paraId="44930960" w14:textId="77777777" w:rsidR="00424EDD" w:rsidRDefault="006036D7" w:rsidP="00424EDD">
      <w:pPr>
        <w:pStyle w:val="Default"/>
        <w:rPr>
          <w:rFonts w:ascii="Times New Roman" w:hAnsi="Times New Roman" w:cs="Times New Roman"/>
          <w:sz w:val="22"/>
          <w:szCs w:val="22"/>
        </w:rPr>
      </w:pPr>
      <w:r>
        <w:rPr>
          <w:i/>
          <w:iCs/>
          <w:sz w:val="22"/>
          <w:szCs w:val="22"/>
        </w:rPr>
        <w:t>Use(s)</w:t>
      </w:r>
      <w:r>
        <w:rPr>
          <w:sz w:val="22"/>
          <w:szCs w:val="22"/>
        </w:rPr>
        <w:t>: Diagnosis of cryptococcal meningitis, systemic cryptococcosis in both immunocompetent and immunocompromised patients</w:t>
      </w:r>
      <w:r>
        <w:rPr>
          <w:rFonts w:ascii="Times New Roman" w:hAnsi="Times New Roman" w:cs="Times New Roman"/>
          <w:sz w:val="22"/>
          <w:szCs w:val="22"/>
        </w:rPr>
        <w:t xml:space="preserve">. </w:t>
      </w:r>
    </w:p>
    <w:p w14:paraId="57DB71FA" w14:textId="77777777" w:rsidR="00424EDD" w:rsidRDefault="006036D7" w:rsidP="00424EDD">
      <w:pPr>
        <w:pStyle w:val="Default"/>
        <w:rPr>
          <w:sz w:val="22"/>
          <w:szCs w:val="22"/>
        </w:rPr>
      </w:pPr>
      <w:r>
        <w:rPr>
          <w:i/>
          <w:iCs/>
          <w:sz w:val="22"/>
          <w:szCs w:val="22"/>
        </w:rPr>
        <w:t>Description</w:t>
      </w:r>
      <w:r>
        <w:rPr>
          <w:sz w:val="22"/>
          <w:szCs w:val="22"/>
        </w:rPr>
        <w:t>: Determination of the presence of cryptoc</w:t>
      </w:r>
      <w:r>
        <w:rPr>
          <w:sz w:val="22"/>
          <w:szCs w:val="22"/>
        </w:rPr>
        <w:t xml:space="preserve">occal antigen and (if requested specifically) antigen titre titre, by lateral flow immunochromatography. </w:t>
      </w:r>
    </w:p>
    <w:p w14:paraId="18B07650" w14:textId="77777777" w:rsidR="00424EDD" w:rsidRDefault="006036D7" w:rsidP="00424EDD">
      <w:pPr>
        <w:pStyle w:val="Default"/>
        <w:rPr>
          <w:sz w:val="22"/>
          <w:szCs w:val="22"/>
        </w:rPr>
      </w:pPr>
      <w:r>
        <w:rPr>
          <w:i/>
          <w:iCs/>
          <w:sz w:val="22"/>
          <w:szCs w:val="22"/>
        </w:rPr>
        <w:t>Specimen</w:t>
      </w:r>
      <w:r>
        <w:rPr>
          <w:sz w:val="22"/>
          <w:szCs w:val="22"/>
        </w:rPr>
        <w:t xml:space="preserve">: Serum or CSF, 300 μl minimum or 3 mL clotted blood. </w:t>
      </w:r>
    </w:p>
    <w:p w14:paraId="44B7A385" w14:textId="77777777" w:rsidR="00424EDD" w:rsidRDefault="006036D7" w:rsidP="00424EDD">
      <w:pPr>
        <w:pStyle w:val="Default"/>
        <w:rPr>
          <w:sz w:val="22"/>
          <w:szCs w:val="22"/>
        </w:rPr>
      </w:pPr>
      <w:r>
        <w:rPr>
          <w:i/>
          <w:iCs/>
          <w:sz w:val="22"/>
          <w:szCs w:val="22"/>
        </w:rPr>
        <w:lastRenderedPageBreak/>
        <w:t>Results</w:t>
      </w:r>
      <w:r>
        <w:rPr>
          <w:sz w:val="22"/>
          <w:szCs w:val="22"/>
        </w:rPr>
        <w:t>: Negative, Positive (No titration required), Positive (Titration to follow), Po</w:t>
      </w:r>
      <w:r>
        <w:rPr>
          <w:sz w:val="22"/>
          <w:szCs w:val="22"/>
        </w:rPr>
        <w:t xml:space="preserve">sitive (Titre). </w:t>
      </w:r>
    </w:p>
    <w:p w14:paraId="5408F198" w14:textId="77777777" w:rsidR="00424EDD" w:rsidRDefault="006036D7" w:rsidP="00424EDD">
      <w:pPr>
        <w:pStyle w:val="Default"/>
        <w:rPr>
          <w:sz w:val="22"/>
          <w:szCs w:val="22"/>
        </w:rPr>
      </w:pPr>
      <w:r>
        <w:rPr>
          <w:i/>
          <w:iCs/>
          <w:sz w:val="22"/>
          <w:szCs w:val="22"/>
        </w:rPr>
        <w:t xml:space="preserve">Limitations: </w:t>
      </w:r>
      <w:r>
        <w:rPr>
          <w:sz w:val="22"/>
          <w:szCs w:val="22"/>
        </w:rPr>
        <w:t xml:space="preserve">The lateral flow test has been found to be as diagnostically accurate as other CRAG test types and is therefore highly sensitive and specific. However, accurate data on test sensitivity and specificity are currently limited. </w:t>
      </w:r>
    </w:p>
    <w:p w14:paraId="76292A9C" w14:textId="77777777" w:rsidR="00424EDD" w:rsidRDefault="006036D7" w:rsidP="00424EDD">
      <w:pPr>
        <w:pStyle w:val="Default"/>
        <w:rPr>
          <w:b/>
          <w:bCs/>
          <w:sz w:val="22"/>
          <w:szCs w:val="22"/>
        </w:rPr>
      </w:pPr>
      <w:r>
        <w:rPr>
          <w:b/>
          <w:bCs/>
          <w:sz w:val="22"/>
          <w:szCs w:val="22"/>
        </w:rPr>
        <w:t>95% Turnaround Time 1 day</w:t>
      </w:r>
    </w:p>
    <w:p w14:paraId="24548D12" w14:textId="77777777" w:rsidR="00F14340" w:rsidRDefault="00F14340" w:rsidP="00424EDD">
      <w:pPr>
        <w:pStyle w:val="Default"/>
        <w:rPr>
          <w:sz w:val="22"/>
          <w:szCs w:val="22"/>
        </w:rPr>
      </w:pPr>
    </w:p>
    <w:p w14:paraId="5AB4C2AE" w14:textId="77777777" w:rsidR="00465B87" w:rsidRDefault="006036D7" w:rsidP="00424EDD">
      <w:pPr>
        <w:pStyle w:val="Default"/>
        <w:rPr>
          <w:b/>
          <w:sz w:val="22"/>
          <w:szCs w:val="22"/>
        </w:rPr>
      </w:pPr>
      <w:r w:rsidRPr="00465B87">
        <w:rPr>
          <w:b/>
          <w:sz w:val="22"/>
          <w:szCs w:val="22"/>
        </w:rPr>
        <w:t xml:space="preserve">Beta-D-Glucan testing </w:t>
      </w:r>
    </w:p>
    <w:p w14:paraId="639D7090" w14:textId="77777777" w:rsidR="00465B87" w:rsidRDefault="006036D7" w:rsidP="00424EDD">
      <w:pPr>
        <w:pStyle w:val="Default"/>
        <w:rPr>
          <w:sz w:val="22"/>
          <w:szCs w:val="22"/>
        </w:rPr>
      </w:pPr>
      <w:r>
        <w:rPr>
          <w:i/>
          <w:sz w:val="22"/>
          <w:szCs w:val="22"/>
        </w:rPr>
        <w:t xml:space="preserve">Use(s): </w:t>
      </w:r>
      <w:r>
        <w:rPr>
          <w:sz w:val="22"/>
          <w:szCs w:val="22"/>
        </w:rPr>
        <w:t>Diagnosis of fungal infection, exclusion of fungal infection (if negative).</w:t>
      </w:r>
    </w:p>
    <w:p w14:paraId="29F43EF9" w14:textId="77777777" w:rsidR="00465B87" w:rsidRDefault="006036D7" w:rsidP="00424EDD">
      <w:pPr>
        <w:pStyle w:val="Default"/>
        <w:rPr>
          <w:sz w:val="22"/>
          <w:szCs w:val="22"/>
        </w:rPr>
      </w:pPr>
      <w:r>
        <w:rPr>
          <w:i/>
          <w:sz w:val="22"/>
          <w:szCs w:val="22"/>
        </w:rPr>
        <w:t>Description:</w:t>
      </w:r>
      <w:r>
        <w:rPr>
          <w:sz w:val="22"/>
          <w:szCs w:val="22"/>
        </w:rPr>
        <w:t xml:space="preserve"> Determination of the presence of 1-3 β - D- glucan (fungal cell wall antigen) in serum by kinetic enzyme assay.</w:t>
      </w:r>
    </w:p>
    <w:p w14:paraId="1A209733" w14:textId="77777777" w:rsidR="00465B87" w:rsidRDefault="006036D7" w:rsidP="00424EDD">
      <w:pPr>
        <w:pStyle w:val="Default"/>
        <w:rPr>
          <w:sz w:val="22"/>
          <w:szCs w:val="22"/>
        </w:rPr>
      </w:pPr>
      <w:r>
        <w:rPr>
          <w:i/>
          <w:sz w:val="22"/>
          <w:szCs w:val="22"/>
        </w:rPr>
        <w:t xml:space="preserve">Specimens: </w:t>
      </w:r>
      <w:r>
        <w:rPr>
          <w:sz w:val="22"/>
          <w:szCs w:val="22"/>
        </w:rPr>
        <w:t>Serum only 200ul or 3ml clotted blood.</w:t>
      </w:r>
    </w:p>
    <w:p w14:paraId="6F55309A" w14:textId="77777777" w:rsidR="00465B87" w:rsidRDefault="006036D7" w:rsidP="00424EDD">
      <w:pPr>
        <w:pStyle w:val="Default"/>
        <w:rPr>
          <w:sz w:val="22"/>
          <w:szCs w:val="22"/>
        </w:rPr>
      </w:pPr>
      <w:r>
        <w:rPr>
          <w:i/>
          <w:sz w:val="22"/>
          <w:szCs w:val="22"/>
        </w:rPr>
        <w:t>Results:</w:t>
      </w:r>
      <w:r w:rsidR="00186D79">
        <w:rPr>
          <w:sz w:val="22"/>
          <w:szCs w:val="22"/>
        </w:rPr>
        <w:t xml:space="preserve"> &lt;31</w:t>
      </w:r>
      <w:r>
        <w:rPr>
          <w:sz w:val="22"/>
          <w:szCs w:val="22"/>
        </w:rPr>
        <w:t xml:space="preserve"> to 59 pg/L Negative, 60-80 pg/L Indeterminate, &gt;80pg/L Positive.</w:t>
      </w:r>
    </w:p>
    <w:p w14:paraId="3236832D" w14:textId="77777777" w:rsidR="00465B87" w:rsidRDefault="006036D7" w:rsidP="00424EDD">
      <w:pPr>
        <w:pStyle w:val="Default"/>
        <w:rPr>
          <w:sz w:val="22"/>
          <w:szCs w:val="22"/>
        </w:rPr>
      </w:pPr>
      <w:r>
        <w:rPr>
          <w:i/>
          <w:sz w:val="22"/>
          <w:szCs w:val="22"/>
        </w:rPr>
        <w:t>Limitations:</w:t>
      </w:r>
      <w:r>
        <w:rPr>
          <w:sz w:val="22"/>
          <w:szCs w:val="22"/>
        </w:rPr>
        <w:t xml:space="preserve"> Po</w:t>
      </w:r>
      <w:r>
        <w:rPr>
          <w:sz w:val="22"/>
          <w:szCs w:val="22"/>
        </w:rPr>
        <w:t>sitives may be due to contaminating substances such as surgical gauze, IV Immunoglobulins or gut leakage. Positives may represent several different fungal disases including Candidosis, Aspergillosis and Pneumocystis and further testing is usually indicated</w:t>
      </w:r>
      <w:r>
        <w:rPr>
          <w:sz w:val="22"/>
          <w:szCs w:val="22"/>
        </w:rPr>
        <w:t>. Samples from patient s with Cryptococcosis and Mucoromycosis are not positive for BDG.</w:t>
      </w:r>
    </w:p>
    <w:p w14:paraId="7053194E" w14:textId="77777777" w:rsidR="00465B87" w:rsidRDefault="006036D7" w:rsidP="00424EDD">
      <w:pPr>
        <w:pStyle w:val="Default"/>
        <w:rPr>
          <w:sz w:val="22"/>
          <w:szCs w:val="22"/>
        </w:rPr>
      </w:pPr>
      <w:r>
        <w:rPr>
          <w:b/>
          <w:bCs/>
          <w:sz w:val="22"/>
          <w:szCs w:val="22"/>
        </w:rPr>
        <w:t>95% Turnaround Time 4</w:t>
      </w:r>
      <w:r w:rsidR="00C0110B">
        <w:rPr>
          <w:b/>
          <w:bCs/>
          <w:sz w:val="22"/>
          <w:szCs w:val="22"/>
        </w:rPr>
        <w:t xml:space="preserve"> days</w:t>
      </w:r>
    </w:p>
    <w:p w14:paraId="3EFEBBDF" w14:textId="77777777" w:rsidR="00465B87" w:rsidRPr="00465B87" w:rsidRDefault="00465B87" w:rsidP="00424EDD">
      <w:pPr>
        <w:pStyle w:val="Default"/>
        <w:rPr>
          <w:sz w:val="22"/>
          <w:szCs w:val="22"/>
        </w:rPr>
      </w:pPr>
    </w:p>
    <w:p w14:paraId="4D7A41A3" w14:textId="77777777" w:rsidR="00424EDD" w:rsidRDefault="006036D7" w:rsidP="00424EDD">
      <w:pPr>
        <w:pStyle w:val="Default"/>
        <w:rPr>
          <w:sz w:val="22"/>
          <w:szCs w:val="22"/>
        </w:rPr>
      </w:pPr>
      <w:r>
        <w:rPr>
          <w:b/>
          <w:bCs/>
          <w:sz w:val="22"/>
          <w:szCs w:val="22"/>
        </w:rPr>
        <w:t xml:space="preserve">Antifungal Drug Assays </w:t>
      </w:r>
    </w:p>
    <w:p w14:paraId="6634EC12" w14:textId="77777777" w:rsidR="00424EDD" w:rsidRPr="0074366D" w:rsidRDefault="006036D7" w:rsidP="00424EDD">
      <w:pPr>
        <w:pStyle w:val="Default"/>
        <w:rPr>
          <w:sz w:val="22"/>
          <w:szCs w:val="22"/>
        </w:rPr>
      </w:pPr>
      <w:r w:rsidRPr="0074366D">
        <w:rPr>
          <w:bCs/>
          <w:sz w:val="22"/>
          <w:szCs w:val="22"/>
        </w:rPr>
        <w:t xml:space="preserve">Antifungal agents are assayed by liquid chromatography-tandem mass spectroscopy (LC-MS-MS). The results are highly </w:t>
      </w:r>
      <w:r w:rsidRPr="0074366D">
        <w:rPr>
          <w:bCs/>
          <w:sz w:val="22"/>
          <w:szCs w:val="22"/>
        </w:rPr>
        <w:t xml:space="preserve">specific and are not influenced by the use of antifungal combination therapy. </w:t>
      </w:r>
    </w:p>
    <w:p w14:paraId="175150EC" w14:textId="77777777" w:rsidR="00424EDD" w:rsidRPr="0074366D" w:rsidRDefault="006036D7" w:rsidP="00424EDD">
      <w:pPr>
        <w:pStyle w:val="Default"/>
        <w:rPr>
          <w:sz w:val="22"/>
          <w:szCs w:val="22"/>
        </w:rPr>
      </w:pPr>
      <w:r w:rsidRPr="0074366D">
        <w:rPr>
          <w:bCs/>
          <w:sz w:val="22"/>
          <w:szCs w:val="22"/>
        </w:rPr>
        <w:t xml:space="preserve">Itraconazole, Posaconazole, Voriconazole </w:t>
      </w:r>
    </w:p>
    <w:p w14:paraId="259A342B" w14:textId="77777777" w:rsidR="00424EDD" w:rsidRDefault="006036D7" w:rsidP="00424EDD">
      <w:pPr>
        <w:pStyle w:val="Default"/>
        <w:rPr>
          <w:sz w:val="22"/>
          <w:szCs w:val="22"/>
        </w:rPr>
      </w:pPr>
      <w:r>
        <w:rPr>
          <w:i/>
          <w:iCs/>
          <w:sz w:val="22"/>
          <w:szCs w:val="22"/>
        </w:rPr>
        <w:t>Use(s)</w:t>
      </w:r>
      <w:r>
        <w:rPr>
          <w:sz w:val="22"/>
          <w:szCs w:val="22"/>
        </w:rPr>
        <w:t>: Confirmation of adequate levels and alerting to toxic levels in patients receiving antifungal azoles for treatment or prophylax</w:t>
      </w:r>
      <w:r>
        <w:rPr>
          <w:sz w:val="22"/>
          <w:szCs w:val="22"/>
        </w:rPr>
        <w:t xml:space="preserve">is of fungal disease. </w:t>
      </w:r>
    </w:p>
    <w:p w14:paraId="27D02592" w14:textId="77777777" w:rsidR="00424EDD" w:rsidRDefault="006036D7" w:rsidP="00424EDD">
      <w:pPr>
        <w:pStyle w:val="Default"/>
        <w:rPr>
          <w:sz w:val="22"/>
          <w:szCs w:val="22"/>
        </w:rPr>
      </w:pPr>
      <w:r>
        <w:rPr>
          <w:i/>
          <w:iCs/>
          <w:sz w:val="22"/>
          <w:szCs w:val="22"/>
        </w:rPr>
        <w:t>Specimens</w:t>
      </w:r>
      <w:r w:rsidR="00C0110B">
        <w:rPr>
          <w:sz w:val="22"/>
          <w:szCs w:val="22"/>
        </w:rPr>
        <w:t xml:space="preserve">: Serum 250μl minimum or 3 </w:t>
      </w:r>
      <w:r>
        <w:rPr>
          <w:sz w:val="22"/>
          <w:szCs w:val="22"/>
        </w:rPr>
        <w:t xml:space="preserve">mL clotted blood </w:t>
      </w:r>
    </w:p>
    <w:p w14:paraId="773E249B" w14:textId="77777777" w:rsidR="00424EDD" w:rsidRDefault="006036D7" w:rsidP="00424EDD">
      <w:pPr>
        <w:pStyle w:val="Default"/>
        <w:rPr>
          <w:sz w:val="22"/>
          <w:szCs w:val="22"/>
        </w:rPr>
      </w:pPr>
      <w:r>
        <w:rPr>
          <w:i/>
          <w:iCs/>
          <w:sz w:val="22"/>
          <w:szCs w:val="22"/>
        </w:rPr>
        <w:t>Results</w:t>
      </w:r>
      <w:r>
        <w:rPr>
          <w:sz w:val="22"/>
          <w:szCs w:val="22"/>
        </w:rPr>
        <w:t xml:space="preserve">: Drug concentration in mg/L, with advice on target levels. </w:t>
      </w:r>
    </w:p>
    <w:p w14:paraId="260F54F5" w14:textId="77777777" w:rsidR="00424EDD" w:rsidRDefault="006036D7" w:rsidP="00424EDD">
      <w:pPr>
        <w:pStyle w:val="Default"/>
        <w:rPr>
          <w:sz w:val="22"/>
          <w:szCs w:val="22"/>
        </w:rPr>
      </w:pPr>
      <w:r>
        <w:rPr>
          <w:b/>
          <w:bCs/>
          <w:sz w:val="22"/>
          <w:szCs w:val="22"/>
        </w:rPr>
        <w:t xml:space="preserve">95% Turnaround Time: Itraconazole </w:t>
      </w:r>
      <w:r w:rsidR="008B1348">
        <w:rPr>
          <w:b/>
          <w:bCs/>
          <w:sz w:val="22"/>
          <w:szCs w:val="22"/>
        </w:rPr>
        <w:t>8</w:t>
      </w:r>
      <w:r>
        <w:rPr>
          <w:b/>
          <w:bCs/>
          <w:sz w:val="22"/>
          <w:szCs w:val="22"/>
        </w:rPr>
        <w:t xml:space="preserve"> days, voriconazole 8 days, posaconazole 8 days. </w:t>
      </w:r>
    </w:p>
    <w:p w14:paraId="353AFE37" w14:textId="77777777" w:rsidR="00424EDD" w:rsidRDefault="006036D7" w:rsidP="00424EDD">
      <w:pPr>
        <w:pStyle w:val="Default"/>
        <w:rPr>
          <w:sz w:val="22"/>
          <w:szCs w:val="22"/>
        </w:rPr>
      </w:pPr>
      <w:r>
        <w:rPr>
          <w:i/>
          <w:iCs/>
          <w:sz w:val="22"/>
          <w:szCs w:val="22"/>
        </w:rPr>
        <w:t xml:space="preserve">Limitations: </w:t>
      </w:r>
      <w:r>
        <w:rPr>
          <w:sz w:val="22"/>
          <w:szCs w:val="22"/>
        </w:rPr>
        <w:t>Adequate anti</w:t>
      </w:r>
      <w:r>
        <w:rPr>
          <w:sz w:val="22"/>
          <w:szCs w:val="22"/>
        </w:rPr>
        <w:t xml:space="preserve">fungal drug levels do not guarantee response to treatment with </w:t>
      </w:r>
      <w:r>
        <w:rPr>
          <w:sz w:val="22"/>
          <w:szCs w:val="22"/>
        </w:rPr>
        <w:t xml:space="preserve">the antifungal agent in question, but are considered to increase the likelihood of clinical response. High levels may be associated with toxicity. </w:t>
      </w:r>
    </w:p>
    <w:p w14:paraId="33375B33" w14:textId="77777777" w:rsidR="00424EDD" w:rsidRPr="001A136A" w:rsidRDefault="006036D7" w:rsidP="00424EDD">
      <w:pPr>
        <w:rPr>
          <w:rFonts w:asciiTheme="minorHAnsi" w:hAnsiTheme="minorHAnsi" w:cstheme="minorHAnsi"/>
          <w:i/>
          <w:iCs/>
          <w:sz w:val="22"/>
        </w:rPr>
      </w:pPr>
      <w:r w:rsidRPr="001A136A">
        <w:rPr>
          <w:rFonts w:asciiTheme="minorHAnsi" w:hAnsiTheme="minorHAnsi" w:cstheme="minorHAnsi"/>
          <w:i/>
          <w:iCs/>
          <w:sz w:val="22"/>
        </w:rPr>
        <w:t>Note: The assay is currently carried out twic</w:t>
      </w:r>
      <w:r w:rsidRPr="001A136A">
        <w:rPr>
          <w:rFonts w:asciiTheme="minorHAnsi" w:hAnsiTheme="minorHAnsi" w:cstheme="minorHAnsi"/>
          <w:i/>
          <w:iCs/>
          <w:sz w:val="22"/>
        </w:rPr>
        <w:t xml:space="preserve">e weekly on </w:t>
      </w:r>
      <w:r w:rsidR="008B1348">
        <w:rPr>
          <w:rFonts w:asciiTheme="minorHAnsi" w:hAnsiTheme="minorHAnsi" w:cstheme="minorHAnsi"/>
          <w:i/>
          <w:iCs/>
          <w:sz w:val="22"/>
        </w:rPr>
        <w:t>Monday</w:t>
      </w:r>
      <w:r w:rsidRPr="001A136A">
        <w:rPr>
          <w:rFonts w:asciiTheme="minorHAnsi" w:hAnsiTheme="minorHAnsi" w:cstheme="minorHAnsi"/>
          <w:i/>
          <w:iCs/>
          <w:sz w:val="22"/>
        </w:rPr>
        <w:t xml:space="preserve"> and Thursday, although specimens need to be received the preceding day for processing.</w:t>
      </w:r>
    </w:p>
    <w:p w14:paraId="6DB2777C" w14:textId="77777777" w:rsidR="00F14340" w:rsidRDefault="00F14340" w:rsidP="00424EDD">
      <w:pPr>
        <w:pStyle w:val="Default"/>
        <w:rPr>
          <w:b/>
          <w:bCs/>
          <w:sz w:val="22"/>
          <w:szCs w:val="22"/>
        </w:rPr>
      </w:pPr>
    </w:p>
    <w:p w14:paraId="729EC695" w14:textId="77777777" w:rsidR="00424EDD" w:rsidRDefault="006036D7" w:rsidP="00424EDD">
      <w:pPr>
        <w:pStyle w:val="Default"/>
        <w:rPr>
          <w:sz w:val="22"/>
          <w:szCs w:val="22"/>
        </w:rPr>
      </w:pPr>
      <w:r>
        <w:rPr>
          <w:b/>
          <w:bCs/>
          <w:sz w:val="22"/>
          <w:szCs w:val="22"/>
        </w:rPr>
        <w:t xml:space="preserve">External Quality Assurance </w:t>
      </w:r>
    </w:p>
    <w:p w14:paraId="503529C1" w14:textId="77777777" w:rsidR="00424EDD" w:rsidRPr="008F05D4" w:rsidRDefault="006036D7" w:rsidP="00424EDD">
      <w:pPr>
        <w:pStyle w:val="Default"/>
        <w:rPr>
          <w:rFonts w:asciiTheme="minorHAnsi" w:hAnsiTheme="minorHAnsi" w:cstheme="minorHAnsi"/>
          <w:sz w:val="22"/>
          <w:szCs w:val="22"/>
        </w:rPr>
      </w:pPr>
      <w:r>
        <w:rPr>
          <w:i/>
          <w:iCs/>
          <w:sz w:val="22"/>
          <w:szCs w:val="22"/>
        </w:rPr>
        <w:t xml:space="preserve">The Mycology Reference Centre participates in the following EQA schemes: UKNEQAS Fungal Identification; UKNEQAS Antifungal Susceptibility; UKNEQAS Fungal Serology; </w:t>
      </w:r>
      <w:r w:rsidR="008F05D4">
        <w:rPr>
          <w:i/>
          <w:iCs/>
          <w:sz w:val="22"/>
          <w:szCs w:val="22"/>
        </w:rPr>
        <w:t>UKNEQAS</w:t>
      </w:r>
      <w:r>
        <w:rPr>
          <w:i/>
          <w:iCs/>
          <w:sz w:val="22"/>
          <w:szCs w:val="22"/>
        </w:rPr>
        <w:t xml:space="preserve"> sc</w:t>
      </w:r>
      <w:r w:rsidR="008F05D4">
        <w:rPr>
          <w:i/>
          <w:iCs/>
          <w:sz w:val="22"/>
          <w:szCs w:val="22"/>
        </w:rPr>
        <w:t xml:space="preserve">heme for anti-fungal drug assay, </w:t>
      </w:r>
      <w:r w:rsidR="008F05D4" w:rsidRPr="008F05D4">
        <w:rPr>
          <w:rFonts w:asciiTheme="minorHAnsi" w:hAnsiTheme="minorHAnsi" w:cstheme="minorHAnsi"/>
          <w:i/>
          <w:iCs/>
          <w:sz w:val="22"/>
          <w:szCs w:val="22"/>
        </w:rPr>
        <w:t>UKNEQAS scheme for fungal biomarkers.</w:t>
      </w:r>
      <w:r w:rsidRPr="008F05D4">
        <w:rPr>
          <w:rFonts w:asciiTheme="minorHAnsi" w:hAnsiTheme="minorHAnsi" w:cstheme="minorHAnsi"/>
          <w:i/>
          <w:iCs/>
          <w:sz w:val="22"/>
          <w:szCs w:val="22"/>
        </w:rPr>
        <w:t xml:space="preserve"> </w:t>
      </w:r>
      <w:r w:rsidRPr="008F05D4">
        <w:rPr>
          <w:rFonts w:asciiTheme="minorHAnsi" w:hAnsiTheme="minorHAnsi" w:cstheme="minorHAnsi"/>
          <w:b/>
          <w:bCs/>
          <w:sz w:val="22"/>
          <w:szCs w:val="22"/>
        </w:rPr>
        <w:t>Further inf</w:t>
      </w:r>
      <w:r w:rsidRPr="008F05D4">
        <w:rPr>
          <w:rFonts w:asciiTheme="minorHAnsi" w:hAnsiTheme="minorHAnsi" w:cstheme="minorHAnsi"/>
          <w:b/>
          <w:bCs/>
          <w:sz w:val="22"/>
          <w:szCs w:val="22"/>
        </w:rPr>
        <w:t xml:space="preserve">ormation </w:t>
      </w:r>
    </w:p>
    <w:p w14:paraId="228FB30C" w14:textId="77777777" w:rsidR="00424EDD" w:rsidRPr="008F05D4" w:rsidRDefault="006036D7" w:rsidP="00424EDD">
      <w:pPr>
        <w:rPr>
          <w:rFonts w:asciiTheme="minorHAnsi" w:hAnsiTheme="minorHAnsi" w:cstheme="minorHAnsi"/>
          <w:sz w:val="22"/>
        </w:rPr>
      </w:pPr>
      <w:r w:rsidRPr="008F05D4">
        <w:rPr>
          <w:rFonts w:asciiTheme="minorHAnsi" w:hAnsiTheme="minorHAnsi" w:cstheme="minorHAnsi"/>
          <w:b/>
          <w:bCs/>
          <w:sz w:val="22"/>
        </w:rPr>
        <w:t xml:space="preserve">To obtain further copies of this document, go to </w:t>
      </w:r>
      <w:hyperlink r:id="rId18" w:history="1">
        <w:r w:rsidRPr="008F05D4">
          <w:rPr>
            <w:rStyle w:val="Hyperlink"/>
            <w:rFonts w:asciiTheme="minorHAnsi" w:hAnsiTheme="minorHAnsi" w:cstheme="minorHAnsi"/>
            <w:sz w:val="22"/>
          </w:rPr>
          <w:t>www.pathology.leedsth.nhs.uk/mycology</w:t>
        </w:r>
      </w:hyperlink>
    </w:p>
    <w:p w14:paraId="7DD49658" w14:textId="77777777" w:rsidR="00424EDD" w:rsidRPr="008F05D4" w:rsidRDefault="006036D7" w:rsidP="00424EDD">
      <w:pPr>
        <w:rPr>
          <w:rFonts w:asciiTheme="minorHAnsi" w:hAnsiTheme="minorHAnsi" w:cstheme="minorHAnsi"/>
          <w:sz w:val="22"/>
        </w:rPr>
      </w:pPr>
      <w:r w:rsidRPr="008F05D4">
        <w:rPr>
          <w:rFonts w:asciiTheme="minorHAnsi" w:hAnsiTheme="minorHAnsi" w:cstheme="minorHAnsi"/>
          <w:sz w:val="22"/>
        </w:rPr>
        <w:t xml:space="preserve">Under “User Manual” link on the left or email </w:t>
      </w:r>
      <w:hyperlink r:id="rId19" w:history="1">
        <w:r w:rsidR="00373FE9" w:rsidRPr="00811710">
          <w:rPr>
            <w:rStyle w:val="Hyperlink"/>
            <w:rFonts w:asciiTheme="minorHAnsi" w:hAnsiTheme="minorHAnsi" w:cstheme="minorHAnsi"/>
            <w:sz w:val="22"/>
          </w:rPr>
          <w:t>Richard.Barton2@nhs.net</w:t>
        </w:r>
      </w:hyperlink>
    </w:p>
    <w:p w14:paraId="5F9896A4" w14:textId="77777777" w:rsidR="00424EDD" w:rsidRDefault="00424EDD" w:rsidP="00424EDD">
      <w:pPr>
        <w:rPr>
          <w:sz w:val="22"/>
        </w:rPr>
      </w:pPr>
    </w:p>
    <w:tbl>
      <w:tblPr>
        <w:tblW w:w="0" w:type="auto"/>
        <w:tblBorders>
          <w:top w:val="nil"/>
          <w:left w:val="nil"/>
          <w:bottom w:val="nil"/>
          <w:right w:val="nil"/>
        </w:tblBorders>
        <w:tblLayout w:type="fixed"/>
        <w:tblLook w:val="0000" w:firstRow="0" w:lastRow="0" w:firstColumn="0" w:lastColumn="0" w:noHBand="0" w:noVBand="0"/>
      </w:tblPr>
      <w:tblGrid>
        <w:gridCol w:w="2226"/>
        <w:gridCol w:w="2226"/>
      </w:tblGrid>
      <w:tr w:rsidR="00F14345" w14:paraId="7D2B0CAE" w14:textId="77777777">
        <w:trPr>
          <w:trHeight w:val="80"/>
        </w:trPr>
        <w:tc>
          <w:tcPr>
            <w:tcW w:w="2226" w:type="dxa"/>
          </w:tcPr>
          <w:p w14:paraId="7BD80856" w14:textId="77777777" w:rsidR="00424EDD" w:rsidRPr="00424EDD" w:rsidRDefault="006036D7" w:rsidP="00424EDD">
            <w:pPr>
              <w:autoSpaceDE w:val="0"/>
              <w:autoSpaceDN w:val="0"/>
              <w:adjustRightInd w:val="0"/>
              <w:rPr>
                <w:rFonts w:ascii="Calibri" w:hAnsi="Calibri" w:cs="Calibri"/>
                <w:color w:val="000000"/>
                <w:sz w:val="16"/>
                <w:szCs w:val="16"/>
              </w:rPr>
            </w:pPr>
            <w:r w:rsidRPr="00424EDD">
              <w:rPr>
                <w:rFonts w:ascii="Calibri" w:hAnsi="Calibri" w:cs="Calibri"/>
                <w:b/>
                <w:bCs/>
                <w:color w:val="000000"/>
                <w:sz w:val="16"/>
                <w:szCs w:val="16"/>
              </w:rPr>
              <w:t xml:space="preserve">Index code </w:t>
            </w:r>
          </w:p>
        </w:tc>
        <w:tc>
          <w:tcPr>
            <w:tcW w:w="2226" w:type="dxa"/>
          </w:tcPr>
          <w:p w14:paraId="29C4C7A0" w14:textId="77777777" w:rsidR="00424EDD" w:rsidRPr="00424EDD" w:rsidRDefault="006036D7" w:rsidP="00424EDD">
            <w:pPr>
              <w:autoSpaceDE w:val="0"/>
              <w:autoSpaceDN w:val="0"/>
              <w:adjustRightInd w:val="0"/>
              <w:rPr>
                <w:rFonts w:ascii="Calibri" w:hAnsi="Calibri" w:cs="Calibri"/>
                <w:color w:val="000000"/>
                <w:sz w:val="16"/>
                <w:szCs w:val="16"/>
              </w:rPr>
            </w:pPr>
            <w:r w:rsidRPr="00C177A0">
              <w:rPr>
                <w:rFonts w:ascii="Calibri" w:hAnsi="Calibri" w:cs="Calibri"/>
                <w:b/>
                <w:bCs/>
                <w:color w:val="000000"/>
                <w:sz w:val="16"/>
                <w:szCs w:val="16"/>
              </w:rPr>
              <w:t>MIC-QM-POL-21</w:t>
            </w:r>
          </w:p>
        </w:tc>
      </w:tr>
      <w:tr w:rsidR="00F14345" w14:paraId="6D141CC3" w14:textId="77777777">
        <w:trPr>
          <w:trHeight w:val="177"/>
        </w:trPr>
        <w:tc>
          <w:tcPr>
            <w:tcW w:w="2226" w:type="dxa"/>
          </w:tcPr>
          <w:p w14:paraId="77925AF4" w14:textId="77777777" w:rsidR="00424EDD" w:rsidRPr="00424EDD" w:rsidRDefault="006036D7" w:rsidP="00424EDD">
            <w:pPr>
              <w:autoSpaceDE w:val="0"/>
              <w:autoSpaceDN w:val="0"/>
              <w:adjustRightInd w:val="0"/>
              <w:rPr>
                <w:rFonts w:ascii="Calibri" w:hAnsi="Calibri" w:cs="Calibri"/>
                <w:color w:val="000000"/>
                <w:sz w:val="16"/>
                <w:szCs w:val="16"/>
              </w:rPr>
            </w:pPr>
            <w:r w:rsidRPr="00424EDD">
              <w:rPr>
                <w:rFonts w:ascii="Calibri" w:hAnsi="Calibri" w:cs="Calibri"/>
                <w:b/>
                <w:bCs/>
                <w:color w:val="000000"/>
                <w:sz w:val="16"/>
                <w:szCs w:val="16"/>
              </w:rPr>
              <w:t xml:space="preserve">Title </w:t>
            </w:r>
          </w:p>
        </w:tc>
        <w:tc>
          <w:tcPr>
            <w:tcW w:w="2226" w:type="dxa"/>
          </w:tcPr>
          <w:p w14:paraId="44B84AA3" w14:textId="77777777" w:rsidR="00424EDD" w:rsidRPr="00424EDD" w:rsidRDefault="006036D7" w:rsidP="00424EDD">
            <w:pPr>
              <w:autoSpaceDE w:val="0"/>
              <w:autoSpaceDN w:val="0"/>
              <w:adjustRightInd w:val="0"/>
              <w:rPr>
                <w:rFonts w:ascii="Calibri" w:hAnsi="Calibri" w:cs="Calibri"/>
                <w:color w:val="000000"/>
                <w:sz w:val="16"/>
                <w:szCs w:val="16"/>
              </w:rPr>
            </w:pPr>
            <w:r w:rsidRPr="00424EDD">
              <w:rPr>
                <w:rFonts w:ascii="Calibri" w:hAnsi="Calibri" w:cs="Calibri"/>
                <w:b/>
                <w:bCs/>
                <w:color w:val="000000"/>
                <w:sz w:val="16"/>
                <w:szCs w:val="16"/>
              </w:rPr>
              <w:t xml:space="preserve">Mycology Reference Centre: Information for Service Users </w:t>
            </w:r>
          </w:p>
        </w:tc>
      </w:tr>
      <w:tr w:rsidR="00F14345" w14:paraId="1951575D" w14:textId="77777777">
        <w:trPr>
          <w:trHeight w:val="80"/>
        </w:trPr>
        <w:tc>
          <w:tcPr>
            <w:tcW w:w="2226" w:type="dxa"/>
          </w:tcPr>
          <w:p w14:paraId="37A064F8" w14:textId="77777777" w:rsidR="00424EDD" w:rsidRPr="00424EDD" w:rsidRDefault="006036D7" w:rsidP="00424EDD">
            <w:pPr>
              <w:autoSpaceDE w:val="0"/>
              <w:autoSpaceDN w:val="0"/>
              <w:adjustRightInd w:val="0"/>
              <w:rPr>
                <w:rFonts w:ascii="Calibri" w:hAnsi="Calibri" w:cs="Calibri"/>
                <w:color w:val="000000"/>
                <w:sz w:val="16"/>
                <w:szCs w:val="16"/>
              </w:rPr>
            </w:pPr>
            <w:r w:rsidRPr="00424EDD">
              <w:rPr>
                <w:rFonts w:ascii="Calibri" w:hAnsi="Calibri" w:cs="Calibri"/>
                <w:b/>
                <w:bCs/>
                <w:color w:val="000000"/>
                <w:sz w:val="16"/>
                <w:szCs w:val="16"/>
              </w:rPr>
              <w:t xml:space="preserve">Area of application </w:t>
            </w:r>
          </w:p>
        </w:tc>
        <w:tc>
          <w:tcPr>
            <w:tcW w:w="2226" w:type="dxa"/>
          </w:tcPr>
          <w:p w14:paraId="1F4E48F3" w14:textId="77777777" w:rsidR="00424EDD" w:rsidRPr="00424EDD" w:rsidRDefault="006036D7" w:rsidP="00424EDD">
            <w:pPr>
              <w:autoSpaceDE w:val="0"/>
              <w:autoSpaceDN w:val="0"/>
              <w:adjustRightInd w:val="0"/>
              <w:rPr>
                <w:rFonts w:ascii="Calibri" w:hAnsi="Calibri" w:cs="Calibri"/>
                <w:color w:val="000000"/>
                <w:sz w:val="16"/>
                <w:szCs w:val="16"/>
              </w:rPr>
            </w:pPr>
            <w:r w:rsidRPr="00424EDD">
              <w:rPr>
                <w:rFonts w:ascii="Calibri" w:hAnsi="Calibri" w:cs="Calibri"/>
                <w:b/>
                <w:bCs/>
                <w:color w:val="000000"/>
                <w:sz w:val="16"/>
                <w:szCs w:val="16"/>
              </w:rPr>
              <w:t xml:space="preserve">Mycology Reference Centre: all users </w:t>
            </w:r>
          </w:p>
        </w:tc>
      </w:tr>
      <w:tr w:rsidR="00F14345" w14:paraId="64630005" w14:textId="77777777">
        <w:trPr>
          <w:trHeight w:val="80"/>
        </w:trPr>
        <w:tc>
          <w:tcPr>
            <w:tcW w:w="2226" w:type="dxa"/>
          </w:tcPr>
          <w:p w14:paraId="60915064" w14:textId="77777777" w:rsidR="00424EDD" w:rsidRPr="00424EDD" w:rsidRDefault="006036D7" w:rsidP="00424EDD">
            <w:pPr>
              <w:autoSpaceDE w:val="0"/>
              <w:autoSpaceDN w:val="0"/>
              <w:adjustRightInd w:val="0"/>
              <w:rPr>
                <w:rFonts w:ascii="Calibri" w:hAnsi="Calibri" w:cs="Calibri"/>
                <w:color w:val="000000"/>
                <w:sz w:val="16"/>
                <w:szCs w:val="16"/>
              </w:rPr>
            </w:pPr>
            <w:r w:rsidRPr="00424EDD">
              <w:rPr>
                <w:rFonts w:ascii="Calibri" w:hAnsi="Calibri" w:cs="Calibri"/>
                <w:b/>
                <w:bCs/>
                <w:color w:val="000000"/>
                <w:sz w:val="16"/>
                <w:szCs w:val="16"/>
              </w:rPr>
              <w:t xml:space="preserve">Issue No. </w:t>
            </w:r>
          </w:p>
        </w:tc>
        <w:tc>
          <w:tcPr>
            <w:tcW w:w="2226" w:type="dxa"/>
          </w:tcPr>
          <w:p w14:paraId="41C602B7" w14:textId="77777777" w:rsidR="00424EDD" w:rsidRPr="00424EDD" w:rsidRDefault="006036D7" w:rsidP="00F63C8C">
            <w:pPr>
              <w:autoSpaceDE w:val="0"/>
              <w:autoSpaceDN w:val="0"/>
              <w:adjustRightInd w:val="0"/>
              <w:rPr>
                <w:rFonts w:ascii="Calibri" w:hAnsi="Calibri" w:cs="Calibri"/>
                <w:color w:val="000000"/>
                <w:sz w:val="16"/>
                <w:szCs w:val="16"/>
              </w:rPr>
            </w:pPr>
            <w:r w:rsidRPr="00F63C8C">
              <w:rPr>
                <w:rFonts w:ascii="Calibri" w:hAnsi="Calibri" w:cs="Calibri"/>
                <w:b/>
                <w:bCs/>
                <w:color w:val="FF0000"/>
                <w:sz w:val="16"/>
                <w:szCs w:val="16"/>
              </w:rPr>
              <w:t>5.0</w:t>
            </w:r>
            <w:r w:rsidR="00BA2932" w:rsidRPr="00F63C8C">
              <w:rPr>
                <w:rFonts w:ascii="Calibri" w:hAnsi="Calibri" w:cs="Calibri"/>
                <w:b/>
                <w:bCs/>
                <w:color w:val="FF0000"/>
                <w:sz w:val="16"/>
                <w:szCs w:val="16"/>
              </w:rPr>
              <w:t xml:space="preserve"> (replaced Issue No </w:t>
            </w:r>
            <w:r w:rsidRPr="00F63C8C">
              <w:rPr>
                <w:rFonts w:ascii="Calibri" w:hAnsi="Calibri" w:cs="Calibri"/>
                <w:b/>
                <w:bCs/>
                <w:color w:val="FF0000"/>
                <w:sz w:val="16"/>
                <w:szCs w:val="16"/>
              </w:rPr>
              <w:t>4.0</w:t>
            </w:r>
            <w:r w:rsidR="005B449F" w:rsidRPr="00F63C8C">
              <w:rPr>
                <w:rFonts w:ascii="Calibri" w:hAnsi="Calibri" w:cs="Calibri"/>
                <w:b/>
                <w:bCs/>
                <w:color w:val="FF0000"/>
                <w:sz w:val="16"/>
                <w:szCs w:val="16"/>
              </w:rPr>
              <w:t>)</w:t>
            </w:r>
            <w:r w:rsidRPr="00F63C8C">
              <w:rPr>
                <w:rFonts w:ascii="Calibri" w:hAnsi="Calibri" w:cs="Calibri"/>
                <w:b/>
                <w:bCs/>
                <w:color w:val="FF0000"/>
                <w:sz w:val="16"/>
                <w:szCs w:val="16"/>
              </w:rPr>
              <w:t xml:space="preserve"> </w:t>
            </w:r>
          </w:p>
        </w:tc>
      </w:tr>
      <w:tr w:rsidR="00F14345" w14:paraId="32C10C64" w14:textId="77777777">
        <w:trPr>
          <w:trHeight w:val="80"/>
        </w:trPr>
        <w:tc>
          <w:tcPr>
            <w:tcW w:w="2226" w:type="dxa"/>
          </w:tcPr>
          <w:p w14:paraId="45049BFA" w14:textId="77777777" w:rsidR="00424EDD" w:rsidRPr="00424EDD" w:rsidRDefault="006036D7" w:rsidP="00424EDD">
            <w:pPr>
              <w:autoSpaceDE w:val="0"/>
              <w:autoSpaceDN w:val="0"/>
              <w:adjustRightInd w:val="0"/>
              <w:rPr>
                <w:rFonts w:ascii="Calibri" w:hAnsi="Calibri" w:cs="Calibri"/>
                <w:color w:val="000000"/>
                <w:sz w:val="16"/>
                <w:szCs w:val="16"/>
              </w:rPr>
            </w:pPr>
            <w:r w:rsidRPr="00424EDD">
              <w:rPr>
                <w:rFonts w:ascii="Calibri" w:hAnsi="Calibri" w:cs="Calibri"/>
                <w:b/>
                <w:bCs/>
                <w:color w:val="000000"/>
                <w:sz w:val="16"/>
                <w:szCs w:val="16"/>
              </w:rPr>
              <w:t xml:space="preserve">Author </w:t>
            </w:r>
          </w:p>
        </w:tc>
        <w:tc>
          <w:tcPr>
            <w:tcW w:w="2226" w:type="dxa"/>
          </w:tcPr>
          <w:p w14:paraId="5CE0AFB1" w14:textId="77777777" w:rsidR="00424EDD" w:rsidRPr="00424EDD" w:rsidRDefault="006036D7" w:rsidP="00424EDD">
            <w:pPr>
              <w:autoSpaceDE w:val="0"/>
              <w:autoSpaceDN w:val="0"/>
              <w:adjustRightInd w:val="0"/>
              <w:rPr>
                <w:rFonts w:ascii="Calibri" w:hAnsi="Calibri" w:cs="Calibri"/>
                <w:color w:val="000000"/>
                <w:sz w:val="16"/>
                <w:szCs w:val="16"/>
              </w:rPr>
            </w:pPr>
            <w:r>
              <w:rPr>
                <w:rFonts w:ascii="Calibri" w:hAnsi="Calibri" w:cs="Calibri"/>
                <w:b/>
                <w:bCs/>
                <w:color w:val="000000"/>
                <w:sz w:val="16"/>
                <w:szCs w:val="16"/>
              </w:rPr>
              <w:t>Dr R Barton</w:t>
            </w:r>
          </w:p>
        </w:tc>
      </w:tr>
      <w:tr w:rsidR="00F14345" w14:paraId="0007AFA4" w14:textId="77777777">
        <w:trPr>
          <w:trHeight w:val="80"/>
        </w:trPr>
        <w:tc>
          <w:tcPr>
            <w:tcW w:w="2226" w:type="dxa"/>
          </w:tcPr>
          <w:p w14:paraId="3305322B" w14:textId="77777777" w:rsidR="00424EDD" w:rsidRPr="00424EDD" w:rsidRDefault="006036D7" w:rsidP="00424EDD">
            <w:pPr>
              <w:autoSpaceDE w:val="0"/>
              <w:autoSpaceDN w:val="0"/>
              <w:adjustRightInd w:val="0"/>
              <w:rPr>
                <w:rFonts w:ascii="Calibri" w:hAnsi="Calibri" w:cs="Calibri"/>
                <w:color w:val="000000"/>
                <w:sz w:val="16"/>
                <w:szCs w:val="16"/>
              </w:rPr>
            </w:pPr>
            <w:r w:rsidRPr="00424EDD">
              <w:rPr>
                <w:rFonts w:ascii="Calibri" w:hAnsi="Calibri" w:cs="Calibri"/>
                <w:b/>
                <w:bCs/>
                <w:color w:val="000000"/>
                <w:sz w:val="16"/>
                <w:szCs w:val="16"/>
              </w:rPr>
              <w:t xml:space="preserve">Date of issue </w:t>
            </w:r>
          </w:p>
        </w:tc>
        <w:tc>
          <w:tcPr>
            <w:tcW w:w="2226" w:type="dxa"/>
          </w:tcPr>
          <w:p w14:paraId="69626D4A" w14:textId="77777777" w:rsidR="00424EDD" w:rsidRPr="00424EDD" w:rsidRDefault="006036D7" w:rsidP="00424EDD">
            <w:pPr>
              <w:autoSpaceDE w:val="0"/>
              <w:autoSpaceDN w:val="0"/>
              <w:adjustRightInd w:val="0"/>
              <w:rPr>
                <w:rFonts w:ascii="Calibri" w:hAnsi="Calibri" w:cs="Calibri"/>
                <w:color w:val="000000"/>
                <w:sz w:val="16"/>
                <w:szCs w:val="16"/>
              </w:rPr>
            </w:pPr>
            <w:r>
              <w:rPr>
                <w:rFonts w:ascii="Calibri" w:hAnsi="Calibri" w:cs="Calibri"/>
                <w:b/>
                <w:bCs/>
                <w:color w:val="000000"/>
                <w:sz w:val="16"/>
                <w:szCs w:val="16"/>
              </w:rPr>
              <w:t>08/02/2022</w:t>
            </w:r>
          </w:p>
        </w:tc>
      </w:tr>
    </w:tbl>
    <w:p w14:paraId="41E9CE71" w14:textId="77777777" w:rsidR="00424EDD" w:rsidRPr="00424EDD" w:rsidRDefault="00424EDD" w:rsidP="00424EDD"/>
    <w:sectPr w:rsidR="00424EDD" w:rsidRPr="00424EDD" w:rsidSect="00E118D6">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B60AD" w14:textId="77777777" w:rsidR="00000000" w:rsidRDefault="006036D7">
      <w:r>
        <w:separator/>
      </w:r>
    </w:p>
  </w:endnote>
  <w:endnote w:type="continuationSeparator" w:id="0">
    <w:p w14:paraId="75837D98" w14:textId="77777777" w:rsidR="00000000" w:rsidRDefault="0060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D09E" w14:textId="77777777" w:rsidR="006036D7" w:rsidRDefault="00603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918707"/>
      <w:docPartObj>
        <w:docPartGallery w:val="Page Numbers (Bottom of Page)"/>
        <w:docPartUnique/>
      </w:docPartObj>
    </w:sdtPr>
    <w:sdtEndPr>
      <w:rPr>
        <w:noProof/>
      </w:rPr>
    </w:sdtEndPr>
    <w:sdtContent>
      <w:p w14:paraId="594F49A5" w14:textId="77777777" w:rsidR="00D51EC1" w:rsidRDefault="006036D7">
        <w:pPr>
          <w:pStyle w:val="Footer"/>
          <w:jc w:val="center"/>
        </w:pPr>
        <w:r>
          <w:fldChar w:fldCharType="begin"/>
        </w:r>
        <w:r>
          <w:instrText xml:space="preserve"> PAGE   \* MERGEFORMAT </w:instrText>
        </w:r>
        <w:r>
          <w:fldChar w:fldCharType="separate"/>
        </w:r>
        <w:r w:rsidR="00F63C8C">
          <w:rPr>
            <w:noProof/>
          </w:rPr>
          <w:t>4</w:t>
        </w:r>
        <w:r>
          <w:rPr>
            <w:noProof/>
          </w:rPr>
          <w:fldChar w:fldCharType="end"/>
        </w:r>
      </w:p>
    </w:sdtContent>
  </w:sdt>
  <w:p w14:paraId="51C929A3" w14:textId="77777777" w:rsidR="00D51EC1" w:rsidRPr="00AD632A" w:rsidRDefault="00D51EC1">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4C00" w14:textId="77777777" w:rsidR="006036D7" w:rsidRDefault="00603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180F5" w14:textId="77777777" w:rsidR="00000000" w:rsidRDefault="006036D7">
      <w:r>
        <w:separator/>
      </w:r>
    </w:p>
  </w:footnote>
  <w:footnote w:type="continuationSeparator" w:id="0">
    <w:p w14:paraId="5FAA12F3" w14:textId="77777777" w:rsidR="00000000" w:rsidRDefault="00603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8625D" w14:textId="77777777" w:rsidR="006036D7" w:rsidRDefault="006036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4255" w14:textId="77777777" w:rsidR="00D51EC1" w:rsidRDefault="006036D7" w:rsidP="00952608">
    <w:pPr>
      <w:pStyle w:val="Header"/>
      <w:tabs>
        <w:tab w:val="clear" w:pos="4513"/>
        <w:tab w:val="clear" w:pos="9026"/>
        <w:tab w:val="left" w:pos="3615"/>
      </w:tabs>
    </w:pPr>
    <w:r>
      <w:t>Mycology Reference Centre, Leeds USER MANUAL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BB4E" w14:textId="77777777" w:rsidR="006036D7" w:rsidRDefault="00603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A4B16"/>
    <w:multiLevelType w:val="hybridMultilevel"/>
    <w:tmpl w:val="BD34011E"/>
    <w:lvl w:ilvl="0" w:tplc="CDBC5028">
      <w:start w:val="1"/>
      <w:numFmt w:val="lowerRoman"/>
      <w:lvlText w:val="%1)"/>
      <w:lvlJc w:val="left"/>
      <w:pPr>
        <w:ind w:left="1080" w:hanging="720"/>
      </w:pPr>
      <w:rPr>
        <w:rFonts w:hint="default"/>
      </w:rPr>
    </w:lvl>
    <w:lvl w:ilvl="1" w:tplc="70D4141C" w:tentative="1">
      <w:start w:val="1"/>
      <w:numFmt w:val="lowerLetter"/>
      <w:lvlText w:val="%2."/>
      <w:lvlJc w:val="left"/>
      <w:pPr>
        <w:ind w:left="1440" w:hanging="360"/>
      </w:pPr>
    </w:lvl>
    <w:lvl w:ilvl="2" w:tplc="DFB49696" w:tentative="1">
      <w:start w:val="1"/>
      <w:numFmt w:val="lowerRoman"/>
      <w:lvlText w:val="%3."/>
      <w:lvlJc w:val="right"/>
      <w:pPr>
        <w:ind w:left="2160" w:hanging="180"/>
      </w:pPr>
    </w:lvl>
    <w:lvl w:ilvl="3" w:tplc="8F2C201A" w:tentative="1">
      <w:start w:val="1"/>
      <w:numFmt w:val="decimal"/>
      <w:lvlText w:val="%4."/>
      <w:lvlJc w:val="left"/>
      <w:pPr>
        <w:ind w:left="2880" w:hanging="360"/>
      </w:pPr>
    </w:lvl>
    <w:lvl w:ilvl="4" w:tplc="DFB26202" w:tentative="1">
      <w:start w:val="1"/>
      <w:numFmt w:val="lowerLetter"/>
      <w:lvlText w:val="%5."/>
      <w:lvlJc w:val="left"/>
      <w:pPr>
        <w:ind w:left="3600" w:hanging="360"/>
      </w:pPr>
    </w:lvl>
    <w:lvl w:ilvl="5" w:tplc="74185462" w:tentative="1">
      <w:start w:val="1"/>
      <w:numFmt w:val="lowerRoman"/>
      <w:lvlText w:val="%6."/>
      <w:lvlJc w:val="right"/>
      <w:pPr>
        <w:ind w:left="4320" w:hanging="180"/>
      </w:pPr>
    </w:lvl>
    <w:lvl w:ilvl="6" w:tplc="BA48EDFA" w:tentative="1">
      <w:start w:val="1"/>
      <w:numFmt w:val="decimal"/>
      <w:lvlText w:val="%7."/>
      <w:lvlJc w:val="left"/>
      <w:pPr>
        <w:ind w:left="5040" w:hanging="360"/>
      </w:pPr>
    </w:lvl>
    <w:lvl w:ilvl="7" w:tplc="301611E6" w:tentative="1">
      <w:start w:val="1"/>
      <w:numFmt w:val="lowerLetter"/>
      <w:lvlText w:val="%8."/>
      <w:lvlJc w:val="left"/>
      <w:pPr>
        <w:ind w:left="5760" w:hanging="360"/>
      </w:pPr>
    </w:lvl>
    <w:lvl w:ilvl="8" w:tplc="1BA861FA" w:tentative="1">
      <w:start w:val="1"/>
      <w:numFmt w:val="lowerRoman"/>
      <w:lvlText w:val="%9."/>
      <w:lvlJc w:val="right"/>
      <w:pPr>
        <w:ind w:left="6480" w:hanging="180"/>
      </w:pPr>
    </w:lvl>
  </w:abstractNum>
  <w:num w:numId="1" w16cid:durableId="193347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ternalQPulse_CurrentDateTime" w:val="&lt;QPulse_CurrentDateTime&gt;"/>
    <w:docVar w:name="InternalQPulse_CurrentUserName" w:val="&lt;QPulse_CurrentUserName&gt;"/>
    <w:docVar w:name="InternalQPulse_DatabaseAlias" w:val="&lt;QPulse_DatabaseAlias&gt;"/>
    <w:docVar w:name="InternalQPulse_DocActiveDate" w:val="&lt;QPulse_DocActiveDate&gt;"/>
    <w:docVar w:name="InternalQPulse_DocAuthor" w:val="&lt;QPulse_DocAuthor&gt;"/>
    <w:docVar w:name="InternalQPulse_DocChangeDetails" w:val="&lt;QPulse_DocChangeDetails&gt;"/>
    <w:docVar w:name="InternalQPulse_DocLastReviewDate" w:val="&lt;QPulse_DocLastReviewDate&gt;"/>
    <w:docVar w:name="InternalQPulse_DocLastReviewDetails" w:val="&lt;QPulse_DocLastReviewDetails&gt;"/>
    <w:docVar w:name="InternalQPulse_DocLastReviewOwner" w:val="&lt;QPulse_DocLastReviewOwner&gt;"/>
    <w:docVar w:name="InternalQPulse_DocNumber" w:val="&lt;QPulse_DocNumber&gt;"/>
    <w:docVar w:name="InternalQPulse_DocOwner" w:val="&lt;QPulse_DocOwner&gt;"/>
    <w:docVar w:name="InternalQPulse_DocReviewDate" w:val="&lt;QPulse_DocReviewDate&gt;"/>
    <w:docVar w:name="InternalQPulse_DocRevisionNumber" w:val="&lt;QPulse_DocRevisionNumber&gt;"/>
    <w:docVar w:name="InternalQPulse_DocStatus" w:val="&lt;QPulse_DocStatus&gt;"/>
    <w:docVar w:name="InternalQPulse_DocTitle" w:val="&lt;QPulse_DocTitle&gt;"/>
    <w:docVar w:name="InternalQPulse_DocType" w:val="&lt;QPulse_DocType&gt;"/>
    <w:docVar w:name="QPulse_CurrentDateTime" w:val="&lt;QPulse_CurrentDateTime&gt;"/>
    <w:docVar w:name="QPulse_CurrentUserName" w:val="&lt;QPulse_CurrentUserName&gt;"/>
    <w:docVar w:name="QPulse_DatabaseAlias" w:val="&lt;QPulse_DatabaseAlias&gt;"/>
    <w:docVar w:name="QPulse_DocActiveDate" w:val="&lt;QPulse_DocActiveDate&gt;"/>
    <w:docVar w:name="QPulse_DocAuthor" w:val="&lt;QPulse_DocAuthor&gt;"/>
    <w:docVar w:name="QPulse_DocChangeDetails" w:val="&lt;QPulse_DocChangeDetails&gt;"/>
    <w:docVar w:name="QPulse_DocLastReviewDate" w:val="&lt;QPulse_DocLastReviewDate&gt;"/>
    <w:docVar w:name="QPulse_DocLastReviewDetails" w:val="&lt;QPulse_DocLastReviewDetails&gt;"/>
    <w:docVar w:name="QPulse_DocLastReviewOwner" w:val="&lt;QPulse_DocLastReviewOwner&gt;"/>
    <w:docVar w:name="QPulse_DocNumber" w:val="&lt;QPulse_DocNumber&gt;"/>
    <w:docVar w:name="QPulse_DocOwner" w:val="&lt;QPulse_DocOwner&gt;"/>
    <w:docVar w:name="QPulse_DocReviewDate" w:val="&lt;QPulse_DocReviewDate&gt;"/>
    <w:docVar w:name="QPulse_DocRevisionNumber" w:val="&lt;QPulse_DocRevisionNumber&gt;"/>
    <w:docVar w:name="QPulse_DocStatus" w:val="&lt;QPulse_DocStatus&gt;"/>
    <w:docVar w:name="QPulse_DocTitle" w:val="&lt;QPulse_DocTitle&gt;"/>
    <w:docVar w:name="QPulse_DocType" w:val="&lt;QPulse_DocType&gt;"/>
    <w:docVar w:name="QPulseSys_SessionID" w:val="e06b6466-6bec-416e-abad-cc9e55f9158e"/>
  </w:docVars>
  <w:rsids>
    <w:rsidRoot w:val="00E118D6"/>
    <w:rsid w:val="00021543"/>
    <w:rsid w:val="000A55CE"/>
    <w:rsid w:val="001860EA"/>
    <w:rsid w:val="00186D79"/>
    <w:rsid w:val="001A136A"/>
    <w:rsid w:val="00207374"/>
    <w:rsid w:val="00360A73"/>
    <w:rsid w:val="00373FE9"/>
    <w:rsid w:val="00424EDD"/>
    <w:rsid w:val="00465B87"/>
    <w:rsid w:val="004A32AB"/>
    <w:rsid w:val="004C283A"/>
    <w:rsid w:val="004D0C6A"/>
    <w:rsid w:val="00523918"/>
    <w:rsid w:val="005B449F"/>
    <w:rsid w:val="006036D7"/>
    <w:rsid w:val="006F2415"/>
    <w:rsid w:val="0074366D"/>
    <w:rsid w:val="0075246C"/>
    <w:rsid w:val="00770F9B"/>
    <w:rsid w:val="007D79F1"/>
    <w:rsid w:val="00811710"/>
    <w:rsid w:val="008B1348"/>
    <w:rsid w:val="008C17CE"/>
    <w:rsid w:val="008F05D4"/>
    <w:rsid w:val="008F2013"/>
    <w:rsid w:val="00952608"/>
    <w:rsid w:val="009B28EB"/>
    <w:rsid w:val="009E2C29"/>
    <w:rsid w:val="009F2BF5"/>
    <w:rsid w:val="00A0345B"/>
    <w:rsid w:val="00A34645"/>
    <w:rsid w:val="00AD632A"/>
    <w:rsid w:val="00AF0286"/>
    <w:rsid w:val="00B03FE1"/>
    <w:rsid w:val="00B1167B"/>
    <w:rsid w:val="00B46201"/>
    <w:rsid w:val="00B71B10"/>
    <w:rsid w:val="00B82C55"/>
    <w:rsid w:val="00BA2932"/>
    <w:rsid w:val="00BC6A2B"/>
    <w:rsid w:val="00C0110B"/>
    <w:rsid w:val="00C16391"/>
    <w:rsid w:val="00C177A0"/>
    <w:rsid w:val="00D41997"/>
    <w:rsid w:val="00D51EC1"/>
    <w:rsid w:val="00DF5A90"/>
    <w:rsid w:val="00E118D6"/>
    <w:rsid w:val="00E354BC"/>
    <w:rsid w:val="00E71FA1"/>
    <w:rsid w:val="00F14340"/>
    <w:rsid w:val="00F14345"/>
    <w:rsid w:val="00F63C8C"/>
    <w:rsid w:val="00F93378"/>
    <w:rsid w:val="00FA1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A12CB"/>
  <w15:docId w15:val="{3C5011AB-CD11-4DAF-9F6B-5BD0917D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3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customStyle="1" w:styleId="Default">
    <w:name w:val="Default"/>
    <w:rsid w:val="00E118D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118D6"/>
    <w:rPr>
      <w:rFonts w:ascii="Tahoma" w:hAnsi="Tahoma" w:cs="Tahoma"/>
      <w:sz w:val="16"/>
      <w:szCs w:val="16"/>
    </w:rPr>
  </w:style>
  <w:style w:type="character" w:customStyle="1" w:styleId="BalloonTextChar">
    <w:name w:val="Balloon Text Char"/>
    <w:basedOn w:val="DefaultParagraphFont"/>
    <w:link w:val="BalloonText"/>
    <w:uiPriority w:val="99"/>
    <w:semiHidden/>
    <w:rsid w:val="00E118D6"/>
    <w:rPr>
      <w:rFonts w:ascii="Tahoma" w:hAnsi="Tahoma" w:cs="Tahoma"/>
      <w:sz w:val="16"/>
      <w:szCs w:val="16"/>
    </w:rPr>
  </w:style>
  <w:style w:type="character" w:styleId="Hyperlink">
    <w:name w:val="Hyperlink"/>
    <w:basedOn w:val="DefaultParagraphFont"/>
    <w:uiPriority w:val="99"/>
    <w:unhideWhenUsed/>
    <w:rsid w:val="00424E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hyperlink" Target="http://www.pathology.leedsth.nhs.uk/mycolog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hyperlink" Target="mailto:Richard.Barton2@nhs.net" TargetMode="External"/><Relationship Id="rId2" Type="http://schemas.openxmlformats.org/officeDocument/2006/relationships/styles" Target="styles.xml"/><Relationship Id="rId16" Type="http://schemas.openxmlformats.org/officeDocument/2006/relationships/hyperlink" Target="mailto:Rebekka.Tolson@nhs.ne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Richard.Barton2@nhs.net" TargetMode="External"/><Relationship Id="rId10" Type="http://schemas.openxmlformats.org/officeDocument/2006/relationships/header" Target="header2.xml"/><Relationship Id="rId19" Type="http://schemas.openxmlformats.org/officeDocument/2006/relationships/hyperlink" Target="mailto:Richard.Barton2@nhs.net"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1994</Words>
  <Characters>11372</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Barton</dc:creator>
  <cp:lastModifiedBy>ARMITAGE, Hannah (LEEDS TEACHING HOSPITALS NHS TRUST)</cp:lastModifiedBy>
  <cp:revision>2</cp:revision>
  <dcterms:created xsi:type="dcterms:W3CDTF">2024-03-14T08:55:00Z</dcterms:created>
  <dcterms:modified xsi:type="dcterms:W3CDTF">2024-03-14T08:55:00Z</dcterms:modified>
</cp:coreProperties>
</file>