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1E03" w14:textId="36D97A06" w:rsidR="008F1A80" w:rsidRPr="00DC0FF7" w:rsidRDefault="00AC546C" w:rsidP="001533FF">
      <w:pPr>
        <w:pStyle w:val="Heading1"/>
        <w:rPr>
          <w:sz w:val="36"/>
          <w:szCs w:val="36"/>
        </w:rPr>
      </w:pPr>
      <w:r w:rsidRPr="00DC0FF7">
        <w:rPr>
          <w:sz w:val="36"/>
          <w:szCs w:val="36"/>
        </w:rPr>
        <w:t>INVESTIGATION AND MANAGEMENT OF WOMEN WITH PREMATURE OVARIAN INSUFFICIENCY</w:t>
      </w:r>
    </w:p>
    <w:p w14:paraId="5AF51A34" w14:textId="77777777" w:rsidR="001574AF" w:rsidRDefault="001574AF" w:rsidP="001533FF">
      <w:pPr>
        <w:pStyle w:val="Heading1"/>
      </w:pPr>
    </w:p>
    <w:p w14:paraId="07FB10D1" w14:textId="77777777" w:rsidR="001574AF" w:rsidRPr="0093451B" w:rsidRDefault="00AD620B" w:rsidP="001533FF">
      <w:pPr>
        <w:pStyle w:val="Heading2"/>
        <w:rPr>
          <w:sz w:val="28"/>
          <w:szCs w:val="28"/>
        </w:rPr>
      </w:pPr>
      <w:r w:rsidRPr="0093451B">
        <w:rPr>
          <w:sz w:val="28"/>
          <w:szCs w:val="28"/>
        </w:rPr>
        <w:t>INTRODUCTION</w:t>
      </w:r>
    </w:p>
    <w:p w14:paraId="45C0CB49" w14:textId="77777777" w:rsidR="001574AF" w:rsidRDefault="001574AF"/>
    <w:p w14:paraId="1043938D" w14:textId="41059562" w:rsidR="001574AF" w:rsidRPr="001533FF" w:rsidRDefault="001574AF" w:rsidP="00AD620B">
      <w:pPr>
        <w:jc w:val="both"/>
        <w:rPr>
          <w:rFonts w:asciiTheme="majorHAnsi" w:hAnsiTheme="majorHAnsi" w:cstheme="majorHAnsi"/>
        </w:rPr>
      </w:pPr>
      <w:r w:rsidRPr="001533FF">
        <w:rPr>
          <w:rFonts w:asciiTheme="majorHAnsi" w:hAnsiTheme="majorHAnsi" w:cstheme="majorHAnsi"/>
        </w:rPr>
        <w:t>Premature ovarian insufficiency (POI) is a clinical syndrome defined by loss of ovarian function before the age of 40.  The prevalence is approximately 1%</w:t>
      </w:r>
      <w:r w:rsidR="00106679" w:rsidRPr="001533FF">
        <w:rPr>
          <w:rFonts w:asciiTheme="majorHAnsi" w:hAnsiTheme="majorHAnsi" w:cstheme="majorHAnsi"/>
        </w:rPr>
        <w:t xml:space="preserve"> </w:t>
      </w:r>
      <w:r w:rsidRPr="001533FF">
        <w:rPr>
          <w:rFonts w:asciiTheme="majorHAnsi" w:hAnsiTheme="majorHAnsi" w:cstheme="majorHAnsi"/>
        </w:rPr>
        <w:t>and is affected by factors such as ethnicity</w:t>
      </w:r>
      <w:r w:rsidR="00106679" w:rsidRPr="001533FF">
        <w:rPr>
          <w:rFonts w:asciiTheme="majorHAnsi" w:hAnsiTheme="majorHAnsi" w:cstheme="majorHAnsi"/>
        </w:rPr>
        <w:t>,</w:t>
      </w:r>
      <w:r w:rsidRPr="001533FF">
        <w:rPr>
          <w:rFonts w:asciiTheme="majorHAnsi" w:hAnsiTheme="majorHAnsi" w:cstheme="majorHAnsi"/>
        </w:rPr>
        <w:t xml:space="preserve"> smoking, exercise, </w:t>
      </w:r>
      <w:proofErr w:type="gramStart"/>
      <w:r w:rsidR="00AD620B" w:rsidRPr="001533FF">
        <w:rPr>
          <w:rFonts w:asciiTheme="majorHAnsi" w:hAnsiTheme="majorHAnsi" w:cstheme="majorHAnsi"/>
        </w:rPr>
        <w:t>BMI</w:t>
      </w:r>
      <w:proofErr w:type="gramEnd"/>
      <w:r w:rsidR="00582E2E" w:rsidRPr="001533FF">
        <w:rPr>
          <w:rFonts w:asciiTheme="majorHAnsi" w:hAnsiTheme="majorHAnsi" w:cstheme="majorHAnsi"/>
        </w:rPr>
        <w:t xml:space="preserve"> and</w:t>
      </w:r>
      <w:r w:rsidRPr="001533FF">
        <w:rPr>
          <w:rFonts w:asciiTheme="majorHAnsi" w:hAnsiTheme="majorHAnsi" w:cstheme="majorHAnsi"/>
        </w:rPr>
        <w:t xml:space="preserve"> socio-economic statu</w:t>
      </w:r>
      <w:r w:rsidR="00582E2E" w:rsidRPr="001533FF">
        <w:rPr>
          <w:rFonts w:asciiTheme="majorHAnsi" w:hAnsiTheme="majorHAnsi" w:cstheme="majorHAnsi"/>
        </w:rPr>
        <w:t>s</w:t>
      </w:r>
      <w:r w:rsidRPr="001533FF">
        <w:rPr>
          <w:rFonts w:asciiTheme="majorHAnsi" w:hAnsiTheme="majorHAnsi" w:cstheme="majorHAnsi"/>
        </w:rPr>
        <w:t xml:space="preserve">.  </w:t>
      </w:r>
    </w:p>
    <w:p w14:paraId="0B804E82" w14:textId="77777777" w:rsidR="001574AF" w:rsidRPr="001533FF" w:rsidRDefault="001574AF" w:rsidP="00AD620B">
      <w:pPr>
        <w:jc w:val="both"/>
        <w:rPr>
          <w:rFonts w:asciiTheme="majorHAnsi" w:hAnsiTheme="majorHAnsi" w:cstheme="majorHAnsi"/>
        </w:rPr>
      </w:pPr>
    </w:p>
    <w:p w14:paraId="5450933D" w14:textId="79E6A5E8" w:rsidR="001574AF" w:rsidRPr="001533FF" w:rsidRDefault="001574AF" w:rsidP="00AD620B">
      <w:pPr>
        <w:jc w:val="both"/>
        <w:rPr>
          <w:rFonts w:asciiTheme="majorHAnsi" w:hAnsiTheme="majorHAnsi" w:cstheme="majorHAnsi"/>
        </w:rPr>
      </w:pPr>
      <w:r w:rsidRPr="001533FF">
        <w:rPr>
          <w:rFonts w:asciiTheme="majorHAnsi" w:hAnsiTheme="majorHAnsi" w:cstheme="majorHAnsi"/>
        </w:rPr>
        <w:t>POI is associated with numerous different aetiologies including chromosomal and genetic defects and autoimmune disorders.  It may also be iatrogenic following surgery, radiotherapy and/or chemotherapy for various indications.  In many women diagnosed with POI, the ca</w:t>
      </w:r>
      <w:r w:rsidR="00AD620B" w:rsidRPr="001533FF">
        <w:rPr>
          <w:rFonts w:asciiTheme="majorHAnsi" w:hAnsiTheme="majorHAnsi" w:cstheme="majorHAnsi"/>
        </w:rPr>
        <w:t>use remains elusive</w:t>
      </w:r>
      <w:r w:rsidRPr="001533FF">
        <w:rPr>
          <w:rFonts w:asciiTheme="majorHAnsi" w:hAnsiTheme="majorHAnsi" w:cstheme="majorHAnsi"/>
        </w:rPr>
        <w:t xml:space="preserve">.  </w:t>
      </w:r>
    </w:p>
    <w:p w14:paraId="322D65F9" w14:textId="77777777" w:rsidR="001574AF" w:rsidRPr="001533FF" w:rsidRDefault="001574AF" w:rsidP="00AD620B">
      <w:pPr>
        <w:jc w:val="both"/>
        <w:rPr>
          <w:rFonts w:asciiTheme="majorHAnsi" w:hAnsiTheme="majorHAnsi" w:cstheme="majorHAnsi"/>
        </w:rPr>
      </w:pPr>
    </w:p>
    <w:p w14:paraId="12ADE0FE" w14:textId="27B45340" w:rsidR="001574AF" w:rsidRPr="001533FF" w:rsidRDefault="001574AF" w:rsidP="00AD620B">
      <w:pPr>
        <w:jc w:val="both"/>
        <w:rPr>
          <w:rFonts w:asciiTheme="majorHAnsi" w:hAnsiTheme="majorHAnsi" w:cstheme="majorHAnsi"/>
        </w:rPr>
      </w:pPr>
      <w:r w:rsidRPr="001533FF">
        <w:rPr>
          <w:rFonts w:asciiTheme="majorHAnsi" w:hAnsiTheme="majorHAnsi" w:cstheme="majorHAnsi"/>
        </w:rPr>
        <w:t xml:space="preserve">POI is characterised by amenorrhoea or oligomenorrhoea of at least four months duration, with raised gonadotrophin and low </w:t>
      </w:r>
      <w:r w:rsidR="00FC3DFC" w:rsidRPr="001533FF">
        <w:rPr>
          <w:rFonts w:asciiTheme="majorHAnsi" w:hAnsiTheme="majorHAnsi" w:cstheme="majorHAnsi"/>
        </w:rPr>
        <w:t>oestradiol</w:t>
      </w:r>
      <w:r w:rsidRPr="001533FF">
        <w:rPr>
          <w:rFonts w:asciiTheme="majorHAnsi" w:hAnsiTheme="majorHAnsi" w:cstheme="majorHAnsi"/>
        </w:rPr>
        <w:t xml:space="preserve"> concentrations.  It can manifest before or after menarche.  Women with POI may therefore complain of a variety of different symptoms including delayed puberty, menstrual disturbance, </w:t>
      </w:r>
      <w:proofErr w:type="gramStart"/>
      <w:r w:rsidRPr="001533FF">
        <w:rPr>
          <w:rFonts w:asciiTheme="majorHAnsi" w:hAnsiTheme="majorHAnsi" w:cstheme="majorHAnsi"/>
        </w:rPr>
        <w:t>infertility</w:t>
      </w:r>
      <w:proofErr w:type="gramEnd"/>
      <w:r w:rsidRPr="001533FF">
        <w:rPr>
          <w:rFonts w:asciiTheme="majorHAnsi" w:hAnsiTheme="majorHAnsi" w:cstheme="majorHAnsi"/>
        </w:rPr>
        <w:t xml:space="preserve"> and symptoms associated with </w:t>
      </w:r>
      <w:r w:rsidR="00FC3DFC" w:rsidRPr="001533FF">
        <w:rPr>
          <w:rFonts w:asciiTheme="majorHAnsi" w:hAnsiTheme="majorHAnsi" w:cstheme="majorHAnsi"/>
        </w:rPr>
        <w:t>oestrogen</w:t>
      </w:r>
      <w:r w:rsidRPr="001533FF">
        <w:rPr>
          <w:rFonts w:asciiTheme="majorHAnsi" w:hAnsiTheme="majorHAnsi" w:cstheme="majorHAnsi"/>
        </w:rPr>
        <w:t xml:space="preserve"> deficiency.  </w:t>
      </w:r>
    </w:p>
    <w:p w14:paraId="339D3A74" w14:textId="77777777" w:rsidR="001574AF" w:rsidRPr="001533FF" w:rsidRDefault="001574AF" w:rsidP="00AD620B">
      <w:pPr>
        <w:jc w:val="both"/>
        <w:rPr>
          <w:rFonts w:asciiTheme="majorHAnsi" w:hAnsiTheme="majorHAnsi" w:cstheme="majorHAnsi"/>
        </w:rPr>
      </w:pPr>
    </w:p>
    <w:p w14:paraId="31D8473D" w14:textId="7D9DCCC8" w:rsidR="001574AF" w:rsidRPr="001533FF" w:rsidRDefault="001574AF" w:rsidP="00AD620B">
      <w:pPr>
        <w:jc w:val="both"/>
        <w:rPr>
          <w:rFonts w:asciiTheme="majorHAnsi" w:hAnsiTheme="majorHAnsi" w:cstheme="majorHAnsi"/>
        </w:rPr>
      </w:pPr>
      <w:r w:rsidRPr="001533FF">
        <w:rPr>
          <w:rFonts w:asciiTheme="majorHAnsi" w:hAnsiTheme="majorHAnsi" w:cstheme="majorHAnsi"/>
        </w:rPr>
        <w:t xml:space="preserve">Management of women with POI is multifactorial encompassing lifestyle advice, hormone replacement, contraception, fertility, bone protection, cardiovascular </w:t>
      </w:r>
      <w:proofErr w:type="gramStart"/>
      <w:r w:rsidRPr="001533FF">
        <w:rPr>
          <w:rFonts w:asciiTheme="majorHAnsi" w:hAnsiTheme="majorHAnsi" w:cstheme="majorHAnsi"/>
        </w:rPr>
        <w:t>health</w:t>
      </w:r>
      <w:proofErr w:type="gramEnd"/>
      <w:r w:rsidRPr="001533FF">
        <w:rPr>
          <w:rFonts w:asciiTheme="majorHAnsi" w:hAnsiTheme="majorHAnsi" w:cstheme="majorHAnsi"/>
        </w:rPr>
        <w:t xml:space="preserve"> and psychological support.  </w:t>
      </w:r>
    </w:p>
    <w:p w14:paraId="5131B37E" w14:textId="73F76101" w:rsidR="001574AF" w:rsidRDefault="001574AF" w:rsidP="00AD620B">
      <w:pPr>
        <w:jc w:val="both"/>
      </w:pPr>
    </w:p>
    <w:p w14:paraId="74514AFC" w14:textId="77777777" w:rsidR="001533FF" w:rsidRDefault="001533FF" w:rsidP="00AD620B">
      <w:pPr>
        <w:jc w:val="both"/>
      </w:pPr>
    </w:p>
    <w:p w14:paraId="7ABFDBC9" w14:textId="77777777" w:rsidR="001574AF" w:rsidRPr="0093451B" w:rsidRDefault="00AD620B" w:rsidP="001533FF">
      <w:pPr>
        <w:pStyle w:val="Heading2"/>
        <w:rPr>
          <w:sz w:val="28"/>
          <w:szCs w:val="28"/>
        </w:rPr>
      </w:pPr>
      <w:r w:rsidRPr="0093451B">
        <w:rPr>
          <w:sz w:val="28"/>
          <w:szCs w:val="28"/>
        </w:rPr>
        <w:t>DIAGNOSIS</w:t>
      </w:r>
    </w:p>
    <w:p w14:paraId="2D5FA741" w14:textId="77777777" w:rsidR="001574AF" w:rsidRPr="0093451B" w:rsidRDefault="001574AF" w:rsidP="00AD620B">
      <w:pPr>
        <w:jc w:val="both"/>
        <w:rPr>
          <w:rFonts w:asciiTheme="majorHAnsi" w:hAnsiTheme="majorHAnsi" w:cstheme="majorHAnsi"/>
        </w:rPr>
      </w:pPr>
    </w:p>
    <w:p w14:paraId="3B81269B" w14:textId="77777777" w:rsidR="00FC3DFC" w:rsidRPr="0093451B" w:rsidRDefault="001574AF" w:rsidP="00AD620B">
      <w:pPr>
        <w:jc w:val="both"/>
        <w:rPr>
          <w:rFonts w:asciiTheme="majorHAnsi" w:hAnsiTheme="majorHAnsi" w:cstheme="majorHAnsi"/>
        </w:rPr>
      </w:pPr>
      <w:r w:rsidRPr="0093451B">
        <w:rPr>
          <w:rFonts w:asciiTheme="majorHAnsi" w:hAnsiTheme="majorHAnsi" w:cstheme="majorHAnsi"/>
        </w:rPr>
        <w:t>POI can be diagnosed in a woman with</w:t>
      </w:r>
      <w:r w:rsidR="00FC3DFC" w:rsidRPr="0093451B">
        <w:rPr>
          <w:rFonts w:asciiTheme="majorHAnsi" w:hAnsiTheme="majorHAnsi" w:cstheme="majorHAnsi"/>
        </w:rPr>
        <w:t>:</w:t>
      </w:r>
    </w:p>
    <w:p w14:paraId="3D5BF292" w14:textId="29C60127" w:rsidR="00FC3DFC" w:rsidRPr="0093451B" w:rsidRDefault="00FC3DFC" w:rsidP="00FC3DFC">
      <w:pPr>
        <w:pStyle w:val="ListParagraph"/>
        <w:numPr>
          <w:ilvl w:val="0"/>
          <w:numId w:val="14"/>
        </w:numPr>
        <w:jc w:val="both"/>
        <w:rPr>
          <w:rFonts w:asciiTheme="majorHAnsi" w:hAnsiTheme="majorHAnsi" w:cstheme="majorHAnsi"/>
        </w:rPr>
      </w:pPr>
      <w:r w:rsidRPr="0093451B">
        <w:rPr>
          <w:rFonts w:asciiTheme="majorHAnsi" w:hAnsiTheme="majorHAnsi" w:cstheme="majorHAnsi"/>
        </w:rPr>
        <w:t>A</w:t>
      </w:r>
      <w:r w:rsidR="001574AF" w:rsidRPr="0093451B">
        <w:rPr>
          <w:rFonts w:asciiTheme="majorHAnsi" w:hAnsiTheme="majorHAnsi" w:cstheme="majorHAnsi"/>
        </w:rPr>
        <w:t>menorrhoea or oligomenorrhoea of at least 4 months duration</w:t>
      </w:r>
      <w:r w:rsidRPr="0093451B">
        <w:rPr>
          <w:rFonts w:asciiTheme="majorHAnsi" w:hAnsiTheme="majorHAnsi" w:cstheme="majorHAnsi"/>
        </w:rPr>
        <w:t xml:space="preserve">, and </w:t>
      </w:r>
    </w:p>
    <w:p w14:paraId="49A03E8E" w14:textId="7900D08B" w:rsidR="001574AF" w:rsidRDefault="00FC3DFC" w:rsidP="001533FF">
      <w:pPr>
        <w:pStyle w:val="ListParagraph"/>
        <w:numPr>
          <w:ilvl w:val="0"/>
          <w:numId w:val="14"/>
        </w:numPr>
        <w:jc w:val="both"/>
        <w:rPr>
          <w:rFonts w:asciiTheme="majorHAnsi" w:hAnsiTheme="majorHAnsi" w:cstheme="majorHAnsi"/>
        </w:rPr>
      </w:pPr>
      <w:r w:rsidRPr="0093451B">
        <w:rPr>
          <w:rFonts w:asciiTheme="majorHAnsi" w:hAnsiTheme="majorHAnsi" w:cstheme="majorHAnsi"/>
        </w:rPr>
        <w:t xml:space="preserve">A </w:t>
      </w:r>
      <w:r w:rsidR="001574AF" w:rsidRPr="0093451B">
        <w:rPr>
          <w:rFonts w:asciiTheme="majorHAnsi" w:hAnsiTheme="majorHAnsi" w:cstheme="majorHAnsi"/>
        </w:rPr>
        <w:t xml:space="preserve">raised </w:t>
      </w:r>
      <w:r w:rsidRPr="0093451B">
        <w:rPr>
          <w:rFonts w:asciiTheme="majorHAnsi" w:hAnsiTheme="majorHAnsi" w:cstheme="majorHAnsi"/>
        </w:rPr>
        <w:t xml:space="preserve">FSH </w:t>
      </w:r>
      <w:r w:rsidR="001574AF" w:rsidRPr="0093451B">
        <w:rPr>
          <w:rFonts w:asciiTheme="majorHAnsi" w:hAnsiTheme="majorHAnsi" w:cstheme="majorHAnsi"/>
        </w:rPr>
        <w:t>&gt;25iu/l</w:t>
      </w:r>
      <w:r w:rsidRPr="0093451B">
        <w:rPr>
          <w:rFonts w:asciiTheme="majorHAnsi" w:hAnsiTheme="majorHAnsi" w:cstheme="majorHAnsi"/>
        </w:rPr>
        <w:t xml:space="preserve"> </w:t>
      </w:r>
      <w:r w:rsidR="001574AF" w:rsidRPr="0093451B">
        <w:rPr>
          <w:rFonts w:asciiTheme="majorHAnsi" w:hAnsiTheme="majorHAnsi" w:cstheme="majorHAnsi"/>
        </w:rPr>
        <w:t xml:space="preserve">on two occasions </w:t>
      </w:r>
      <w:r w:rsidRPr="0093451B">
        <w:rPr>
          <w:rFonts w:asciiTheme="majorHAnsi" w:hAnsiTheme="majorHAnsi" w:cstheme="majorHAnsi"/>
        </w:rPr>
        <w:t>&gt;4</w:t>
      </w:r>
      <w:r w:rsidR="001574AF" w:rsidRPr="0093451B">
        <w:rPr>
          <w:rFonts w:asciiTheme="majorHAnsi" w:hAnsiTheme="majorHAnsi" w:cstheme="majorHAnsi"/>
        </w:rPr>
        <w:t xml:space="preserve"> weeks apart.  </w:t>
      </w:r>
    </w:p>
    <w:p w14:paraId="2F4D5B7C" w14:textId="7E39FAB9" w:rsidR="005A7917" w:rsidRDefault="005A7917" w:rsidP="005A7917">
      <w:pPr>
        <w:jc w:val="both"/>
        <w:rPr>
          <w:rFonts w:asciiTheme="majorHAnsi" w:hAnsiTheme="majorHAnsi" w:cstheme="majorHAnsi"/>
        </w:rPr>
      </w:pPr>
    </w:p>
    <w:p w14:paraId="1154978D" w14:textId="074AC1B6" w:rsidR="005A7917" w:rsidRPr="005A7917" w:rsidRDefault="005A7917" w:rsidP="005A7917">
      <w:pPr>
        <w:jc w:val="both"/>
        <w:rPr>
          <w:rFonts w:asciiTheme="majorHAnsi" w:hAnsiTheme="majorHAnsi" w:cstheme="majorHAnsi"/>
        </w:rPr>
      </w:pPr>
      <w:r w:rsidRPr="005A7917">
        <w:rPr>
          <w:rFonts w:asciiTheme="majorHAnsi" w:hAnsiTheme="majorHAnsi" w:cstheme="majorHAnsi"/>
        </w:rPr>
        <w:t>Clinical suspicion should be raised in the presence of irregular menstrual cycles or secondary amenorrhea in women before the age of 40 years, or in girls with primary amenorrhea</w:t>
      </w:r>
      <w:r>
        <w:rPr>
          <w:rFonts w:asciiTheme="majorHAnsi" w:hAnsiTheme="majorHAnsi" w:cstheme="majorHAnsi"/>
        </w:rPr>
        <w:t>.</w:t>
      </w:r>
    </w:p>
    <w:p w14:paraId="238CB48A" w14:textId="6DB6ADD7" w:rsidR="001574AF" w:rsidRDefault="001574AF" w:rsidP="001533FF">
      <w:pPr>
        <w:tabs>
          <w:tab w:val="left" w:pos="2448"/>
        </w:tabs>
        <w:jc w:val="both"/>
      </w:pPr>
    </w:p>
    <w:p w14:paraId="1437FA88" w14:textId="77777777" w:rsidR="001533FF" w:rsidRDefault="001533FF" w:rsidP="001533FF">
      <w:pPr>
        <w:tabs>
          <w:tab w:val="left" w:pos="2448"/>
        </w:tabs>
        <w:jc w:val="both"/>
      </w:pPr>
    </w:p>
    <w:p w14:paraId="67F6DBA3" w14:textId="07B70984" w:rsidR="001574AF" w:rsidRPr="0093451B" w:rsidRDefault="00AD620B" w:rsidP="001533FF">
      <w:pPr>
        <w:pStyle w:val="Heading2"/>
        <w:rPr>
          <w:sz w:val="28"/>
          <w:szCs w:val="28"/>
        </w:rPr>
      </w:pPr>
      <w:r w:rsidRPr="0093451B">
        <w:rPr>
          <w:sz w:val="28"/>
          <w:szCs w:val="28"/>
        </w:rPr>
        <w:t>INVESTIGATIONS</w:t>
      </w:r>
    </w:p>
    <w:p w14:paraId="0454DD53" w14:textId="77777777" w:rsidR="001574AF" w:rsidRDefault="001574AF" w:rsidP="00AD620B">
      <w:pPr>
        <w:jc w:val="both"/>
      </w:pPr>
    </w:p>
    <w:p w14:paraId="46BB7C37" w14:textId="2F93A1FB" w:rsidR="001574AF" w:rsidRPr="0093451B" w:rsidRDefault="001574AF" w:rsidP="00AD620B">
      <w:pPr>
        <w:jc w:val="both"/>
        <w:rPr>
          <w:rFonts w:asciiTheme="majorHAnsi" w:hAnsiTheme="majorHAnsi" w:cstheme="majorHAnsi"/>
        </w:rPr>
      </w:pPr>
      <w:r w:rsidRPr="0093451B">
        <w:rPr>
          <w:rFonts w:asciiTheme="majorHAnsi" w:hAnsiTheme="majorHAnsi" w:cstheme="majorHAnsi"/>
        </w:rPr>
        <w:t>Once the diagnosis has been established, the following investigations should be performed to try to establish the cause of ovarian failure.</w:t>
      </w:r>
      <w:r w:rsidR="0057487C" w:rsidRPr="0093451B">
        <w:rPr>
          <w:rFonts w:asciiTheme="majorHAnsi" w:hAnsiTheme="majorHAnsi" w:cstheme="majorHAnsi"/>
        </w:rPr>
        <w:t xml:space="preserve"> </w:t>
      </w:r>
      <w:r w:rsidR="005A7917">
        <w:rPr>
          <w:rFonts w:asciiTheme="majorHAnsi" w:hAnsiTheme="majorHAnsi" w:cstheme="majorHAnsi"/>
        </w:rPr>
        <w:t xml:space="preserve">Although most cases are idiopathic, identifying a cause where one exists </w:t>
      </w:r>
      <w:r w:rsidR="001838F5">
        <w:rPr>
          <w:rFonts w:asciiTheme="majorHAnsi" w:hAnsiTheme="majorHAnsi" w:cstheme="majorHAnsi"/>
        </w:rPr>
        <w:t>will</w:t>
      </w:r>
      <w:r w:rsidR="005A7917">
        <w:rPr>
          <w:rFonts w:asciiTheme="majorHAnsi" w:hAnsiTheme="majorHAnsi" w:cstheme="majorHAnsi"/>
        </w:rPr>
        <w:t xml:space="preserve"> impact future care needs. </w:t>
      </w:r>
      <w:r w:rsidR="004C4622" w:rsidRPr="0093451B">
        <w:rPr>
          <w:rFonts w:asciiTheme="majorHAnsi" w:hAnsiTheme="majorHAnsi" w:cstheme="majorHAnsi"/>
        </w:rPr>
        <w:t>Most blood</w:t>
      </w:r>
      <w:r w:rsidR="005A7917">
        <w:rPr>
          <w:rFonts w:asciiTheme="majorHAnsi" w:hAnsiTheme="majorHAnsi" w:cstheme="majorHAnsi"/>
        </w:rPr>
        <w:t xml:space="preserve"> tests </w:t>
      </w:r>
      <w:r w:rsidR="004C4622" w:rsidRPr="0093451B">
        <w:rPr>
          <w:rFonts w:asciiTheme="majorHAnsi" w:hAnsiTheme="majorHAnsi" w:cstheme="majorHAnsi"/>
        </w:rPr>
        <w:t>can be requested via ICE. Genetic investigations are requested on paper using the LTHT genetics form.</w:t>
      </w:r>
    </w:p>
    <w:p w14:paraId="21991343" w14:textId="77777777" w:rsidR="0057487C" w:rsidRPr="0093451B" w:rsidRDefault="0057487C" w:rsidP="00AD620B">
      <w:pPr>
        <w:jc w:val="both"/>
        <w:rPr>
          <w:rFonts w:asciiTheme="majorHAnsi" w:hAnsiTheme="majorHAnsi" w:cstheme="majorHAnsi"/>
        </w:rPr>
      </w:pPr>
    </w:p>
    <w:p w14:paraId="0884BD8C" w14:textId="03517B65" w:rsidR="0057487C" w:rsidRPr="0093451B" w:rsidRDefault="0057487C" w:rsidP="001533FF">
      <w:pPr>
        <w:pStyle w:val="Heading3"/>
        <w:numPr>
          <w:ilvl w:val="0"/>
          <w:numId w:val="15"/>
        </w:numPr>
        <w:rPr>
          <w:sz w:val="28"/>
          <w:szCs w:val="28"/>
        </w:rPr>
      </w:pPr>
      <w:r w:rsidRPr="0093451B">
        <w:rPr>
          <w:sz w:val="28"/>
          <w:szCs w:val="28"/>
        </w:rPr>
        <w:lastRenderedPageBreak/>
        <w:t>Karyotype</w:t>
      </w:r>
    </w:p>
    <w:p w14:paraId="67684CEB" w14:textId="77777777" w:rsidR="001B297C" w:rsidRDefault="001B297C" w:rsidP="00AD620B">
      <w:pPr>
        <w:jc w:val="both"/>
      </w:pPr>
    </w:p>
    <w:p w14:paraId="275BC1E4" w14:textId="03BD7A55" w:rsidR="001B297C" w:rsidRPr="0093451B" w:rsidRDefault="001B297C" w:rsidP="00AD620B">
      <w:pPr>
        <w:jc w:val="both"/>
        <w:rPr>
          <w:rFonts w:asciiTheme="majorHAnsi" w:hAnsiTheme="majorHAnsi" w:cstheme="majorHAnsi"/>
        </w:rPr>
      </w:pPr>
      <w:r w:rsidRPr="0093451B">
        <w:rPr>
          <w:rFonts w:asciiTheme="majorHAnsi" w:hAnsiTheme="majorHAnsi" w:cstheme="majorHAnsi"/>
        </w:rPr>
        <w:t>10-12% of women with POI have a chromosomal abnormality, of which the majority relate to the X chromosome (</w:t>
      </w:r>
      <w:r w:rsidR="004C4622" w:rsidRPr="0093451B">
        <w:rPr>
          <w:rFonts w:asciiTheme="majorHAnsi" w:hAnsiTheme="majorHAnsi" w:cstheme="majorHAnsi"/>
        </w:rPr>
        <w:t xml:space="preserve">X </w:t>
      </w:r>
      <w:r w:rsidRPr="0093451B">
        <w:rPr>
          <w:rFonts w:asciiTheme="majorHAnsi" w:hAnsiTheme="majorHAnsi" w:cstheme="majorHAnsi"/>
        </w:rPr>
        <w:t xml:space="preserve">structural abnormalities or </w:t>
      </w:r>
      <w:r w:rsidR="004C4622" w:rsidRPr="0093451B">
        <w:rPr>
          <w:rFonts w:asciiTheme="majorHAnsi" w:hAnsiTheme="majorHAnsi" w:cstheme="majorHAnsi"/>
        </w:rPr>
        <w:t xml:space="preserve">X </w:t>
      </w:r>
      <w:r w:rsidRPr="0093451B">
        <w:rPr>
          <w:rFonts w:asciiTheme="majorHAnsi" w:hAnsiTheme="majorHAnsi" w:cstheme="majorHAnsi"/>
        </w:rPr>
        <w:t xml:space="preserve">aneuploidy).  Although the incidence is higher in those presenting before menarche than those presenting afterwards (21% versus 11%), a specific age cut-off for undertaking </w:t>
      </w:r>
      <w:r w:rsidR="008066D2" w:rsidRPr="0093451B">
        <w:rPr>
          <w:rFonts w:asciiTheme="majorHAnsi" w:hAnsiTheme="majorHAnsi" w:cstheme="majorHAnsi"/>
        </w:rPr>
        <w:t xml:space="preserve">a karyotype in POI is not recommended.  </w:t>
      </w:r>
    </w:p>
    <w:p w14:paraId="062A1E99" w14:textId="77777777" w:rsidR="0057487C" w:rsidRPr="0093451B" w:rsidRDefault="0057487C" w:rsidP="00AD620B">
      <w:pPr>
        <w:jc w:val="both"/>
        <w:rPr>
          <w:rFonts w:asciiTheme="majorHAnsi" w:hAnsiTheme="majorHAnsi" w:cstheme="majorHAnsi"/>
        </w:rPr>
      </w:pPr>
    </w:p>
    <w:p w14:paraId="18E49419" w14:textId="77777777" w:rsidR="001500EC" w:rsidRPr="0093451B" w:rsidRDefault="001500EC" w:rsidP="00AD620B">
      <w:pPr>
        <w:jc w:val="both"/>
        <w:rPr>
          <w:rFonts w:asciiTheme="majorHAnsi" w:hAnsiTheme="majorHAnsi" w:cstheme="majorHAnsi"/>
          <w:b/>
          <w:i/>
        </w:rPr>
      </w:pPr>
      <w:r w:rsidRPr="0093451B">
        <w:rPr>
          <w:rFonts w:asciiTheme="majorHAnsi" w:hAnsiTheme="majorHAnsi" w:cstheme="majorHAnsi"/>
          <w:b/>
          <w:i/>
        </w:rPr>
        <w:t>If Turner’s syndrome/mosaicism is diagnosed, refer to endocrinology</w:t>
      </w:r>
    </w:p>
    <w:p w14:paraId="37EFFD26" w14:textId="77777777" w:rsidR="0057487C" w:rsidRPr="0093451B" w:rsidRDefault="0057487C" w:rsidP="00AD620B">
      <w:pPr>
        <w:jc w:val="both"/>
        <w:rPr>
          <w:rFonts w:asciiTheme="majorHAnsi" w:hAnsiTheme="majorHAnsi" w:cstheme="majorHAnsi"/>
        </w:rPr>
      </w:pPr>
    </w:p>
    <w:p w14:paraId="0CCF7B9E" w14:textId="4292FCC3" w:rsidR="001500EC" w:rsidRPr="0093451B" w:rsidRDefault="001500EC" w:rsidP="00AD620B">
      <w:pPr>
        <w:jc w:val="both"/>
        <w:rPr>
          <w:rFonts w:asciiTheme="majorHAnsi" w:hAnsiTheme="majorHAnsi" w:cstheme="majorHAnsi"/>
          <w:b/>
          <w:i/>
        </w:rPr>
      </w:pPr>
      <w:r w:rsidRPr="0093451B">
        <w:rPr>
          <w:rFonts w:asciiTheme="majorHAnsi" w:hAnsiTheme="majorHAnsi" w:cstheme="majorHAnsi"/>
          <w:b/>
          <w:i/>
        </w:rPr>
        <w:t>If Y-chromosomal material is det</w:t>
      </w:r>
      <w:r w:rsidR="001B297C" w:rsidRPr="0093451B">
        <w:rPr>
          <w:rFonts w:asciiTheme="majorHAnsi" w:hAnsiTheme="majorHAnsi" w:cstheme="majorHAnsi"/>
          <w:b/>
          <w:i/>
        </w:rPr>
        <w:t>ected,</w:t>
      </w:r>
      <w:r w:rsidR="004C4622" w:rsidRPr="0093451B">
        <w:rPr>
          <w:rFonts w:asciiTheme="majorHAnsi" w:hAnsiTheme="majorHAnsi" w:cstheme="majorHAnsi"/>
          <w:b/>
          <w:i/>
        </w:rPr>
        <w:t xml:space="preserve"> either with or without SRY gene mutation,</w:t>
      </w:r>
      <w:r w:rsidR="001B297C" w:rsidRPr="0093451B">
        <w:rPr>
          <w:rFonts w:asciiTheme="majorHAnsi" w:hAnsiTheme="majorHAnsi" w:cstheme="majorHAnsi"/>
          <w:b/>
          <w:i/>
        </w:rPr>
        <w:t xml:space="preserve"> discuss gonadectomy as </w:t>
      </w:r>
      <w:r w:rsidR="004C4622" w:rsidRPr="0093451B">
        <w:rPr>
          <w:rFonts w:asciiTheme="majorHAnsi" w:hAnsiTheme="majorHAnsi" w:cstheme="majorHAnsi"/>
          <w:b/>
          <w:i/>
        </w:rPr>
        <w:t xml:space="preserve">there is a </w:t>
      </w:r>
      <w:r w:rsidR="001B297C" w:rsidRPr="0093451B">
        <w:rPr>
          <w:rFonts w:asciiTheme="majorHAnsi" w:hAnsiTheme="majorHAnsi" w:cstheme="majorHAnsi"/>
          <w:b/>
          <w:i/>
        </w:rPr>
        <w:t>45</w:t>
      </w:r>
      <w:r w:rsidR="00AD620B" w:rsidRPr="0093451B">
        <w:rPr>
          <w:rFonts w:asciiTheme="majorHAnsi" w:hAnsiTheme="majorHAnsi" w:cstheme="majorHAnsi"/>
          <w:b/>
          <w:i/>
        </w:rPr>
        <w:t xml:space="preserve">% risk of </w:t>
      </w:r>
      <w:r w:rsidR="004C4622" w:rsidRPr="0093451B">
        <w:rPr>
          <w:rFonts w:asciiTheme="majorHAnsi" w:hAnsiTheme="majorHAnsi" w:cstheme="majorHAnsi"/>
          <w:b/>
          <w:i/>
        </w:rPr>
        <w:t xml:space="preserve">gonadal </w:t>
      </w:r>
      <w:r w:rsidR="00AD620B" w:rsidRPr="0093451B">
        <w:rPr>
          <w:rFonts w:asciiTheme="majorHAnsi" w:hAnsiTheme="majorHAnsi" w:cstheme="majorHAnsi"/>
          <w:b/>
          <w:i/>
        </w:rPr>
        <w:t>malignancy</w:t>
      </w:r>
    </w:p>
    <w:p w14:paraId="1BF79803" w14:textId="77777777" w:rsidR="001533FF" w:rsidRPr="0093451B" w:rsidRDefault="001533FF" w:rsidP="00AD620B">
      <w:pPr>
        <w:jc w:val="both"/>
        <w:rPr>
          <w:rFonts w:asciiTheme="majorHAnsi" w:hAnsiTheme="majorHAnsi" w:cstheme="majorHAnsi"/>
          <w:b/>
          <w:i/>
        </w:rPr>
      </w:pPr>
    </w:p>
    <w:p w14:paraId="0EC60397" w14:textId="77777777" w:rsidR="001500EC" w:rsidRDefault="001500EC" w:rsidP="00AD620B">
      <w:pPr>
        <w:jc w:val="both"/>
      </w:pPr>
    </w:p>
    <w:p w14:paraId="5D846B41" w14:textId="6FC92400" w:rsidR="0057487C" w:rsidRPr="0093451B" w:rsidRDefault="0057487C" w:rsidP="001533FF">
      <w:pPr>
        <w:pStyle w:val="Heading3"/>
        <w:numPr>
          <w:ilvl w:val="0"/>
          <w:numId w:val="15"/>
        </w:numPr>
        <w:rPr>
          <w:sz w:val="28"/>
          <w:szCs w:val="28"/>
        </w:rPr>
      </w:pPr>
      <w:r w:rsidRPr="0093451B">
        <w:rPr>
          <w:sz w:val="28"/>
          <w:szCs w:val="28"/>
        </w:rPr>
        <w:t>Fragile X pre-mutation</w:t>
      </w:r>
    </w:p>
    <w:p w14:paraId="3C138DAE" w14:textId="77777777" w:rsidR="008066D2" w:rsidRDefault="008066D2" w:rsidP="00AD620B">
      <w:pPr>
        <w:jc w:val="both"/>
      </w:pPr>
    </w:p>
    <w:p w14:paraId="552F29B8" w14:textId="174463CB" w:rsidR="008066D2" w:rsidRPr="0093451B" w:rsidRDefault="008066D2" w:rsidP="00AD620B">
      <w:pPr>
        <w:jc w:val="both"/>
        <w:rPr>
          <w:rFonts w:asciiTheme="majorHAnsi" w:hAnsiTheme="majorHAnsi" w:cstheme="majorHAnsi"/>
        </w:rPr>
      </w:pPr>
      <w:r w:rsidRPr="0093451B">
        <w:rPr>
          <w:rFonts w:asciiTheme="majorHAnsi" w:hAnsiTheme="majorHAnsi" w:cstheme="majorHAnsi"/>
        </w:rPr>
        <w:t xml:space="preserve">The prevalence of the Fragile-X pre-mutation is 0.8-7.5% in </w:t>
      </w:r>
      <w:r w:rsidR="00C825A2" w:rsidRPr="0093451B">
        <w:rPr>
          <w:rFonts w:asciiTheme="majorHAnsi" w:hAnsiTheme="majorHAnsi" w:cstheme="majorHAnsi"/>
        </w:rPr>
        <w:t xml:space="preserve">POI patients </w:t>
      </w:r>
      <w:r w:rsidRPr="0093451B">
        <w:rPr>
          <w:rFonts w:asciiTheme="majorHAnsi" w:hAnsiTheme="majorHAnsi" w:cstheme="majorHAnsi"/>
        </w:rPr>
        <w:t>with</w:t>
      </w:r>
      <w:r w:rsidR="00C825A2" w:rsidRPr="0093451B">
        <w:rPr>
          <w:rFonts w:asciiTheme="majorHAnsi" w:hAnsiTheme="majorHAnsi" w:cstheme="majorHAnsi"/>
        </w:rPr>
        <w:t xml:space="preserve">out a family history </w:t>
      </w:r>
      <w:r w:rsidRPr="0093451B">
        <w:rPr>
          <w:rFonts w:asciiTheme="majorHAnsi" w:hAnsiTheme="majorHAnsi" w:cstheme="majorHAnsi"/>
        </w:rPr>
        <w:t>POI</w:t>
      </w:r>
      <w:r w:rsidR="00C825A2" w:rsidRPr="0093451B">
        <w:rPr>
          <w:rFonts w:asciiTheme="majorHAnsi" w:hAnsiTheme="majorHAnsi" w:cstheme="majorHAnsi"/>
        </w:rPr>
        <w:t>.</w:t>
      </w:r>
      <w:r w:rsidRPr="0093451B">
        <w:rPr>
          <w:rFonts w:asciiTheme="majorHAnsi" w:hAnsiTheme="majorHAnsi" w:cstheme="majorHAnsi"/>
        </w:rPr>
        <w:t xml:space="preserve"> </w:t>
      </w:r>
      <w:r w:rsidR="00C825A2" w:rsidRPr="0093451B">
        <w:rPr>
          <w:rFonts w:asciiTheme="majorHAnsi" w:hAnsiTheme="majorHAnsi" w:cstheme="majorHAnsi"/>
        </w:rPr>
        <w:t xml:space="preserve">This increases to </w:t>
      </w:r>
      <w:r w:rsidRPr="0093451B">
        <w:rPr>
          <w:rFonts w:asciiTheme="majorHAnsi" w:hAnsiTheme="majorHAnsi" w:cstheme="majorHAnsi"/>
        </w:rPr>
        <w:t xml:space="preserve">13% in </w:t>
      </w:r>
      <w:r w:rsidR="00C825A2" w:rsidRPr="0093451B">
        <w:rPr>
          <w:rFonts w:asciiTheme="majorHAnsi" w:hAnsiTheme="majorHAnsi" w:cstheme="majorHAnsi"/>
        </w:rPr>
        <w:t xml:space="preserve">patients </w:t>
      </w:r>
      <w:r w:rsidRPr="0093451B">
        <w:rPr>
          <w:rFonts w:asciiTheme="majorHAnsi" w:hAnsiTheme="majorHAnsi" w:cstheme="majorHAnsi"/>
        </w:rPr>
        <w:t>with a family history</w:t>
      </w:r>
      <w:r w:rsidR="00C825A2" w:rsidRPr="0093451B">
        <w:rPr>
          <w:rFonts w:asciiTheme="majorHAnsi" w:hAnsiTheme="majorHAnsi" w:cstheme="majorHAnsi"/>
        </w:rPr>
        <w:t xml:space="preserve"> of POI</w:t>
      </w:r>
      <w:r w:rsidR="00106679" w:rsidRPr="0093451B">
        <w:rPr>
          <w:rFonts w:asciiTheme="majorHAnsi" w:hAnsiTheme="majorHAnsi" w:cstheme="majorHAnsi"/>
        </w:rPr>
        <w:t xml:space="preserve"> </w:t>
      </w:r>
      <w:r w:rsidR="00106679" w:rsidRPr="0093451B">
        <w:rPr>
          <w:rFonts w:asciiTheme="majorHAnsi" w:hAnsiTheme="majorHAnsi" w:cstheme="majorHAnsi"/>
        </w:rPr>
        <w:fldChar w:fldCharType="begin">
          <w:fldData xml:space="preserve">PEVuZE5vdGU+PENpdGU+PEF1dGhvcj5XaXR0ZW5iZXJnZXI8L0F1dGhvcj48WWVhcj4yMDA3PC9Z
ZWFyPjxSZWNOdW0+NTwvUmVjTnVtPjxEaXNwbGF5VGV4dD4oNSk8L0Rpc3BsYXlUZXh0PjxyZWNv
cmQ+PHJlYy1udW1iZXI+NTwvcmVjLW51bWJlcj48Zm9yZWlnbi1rZXlzPjxrZXkgYXBwPSJFTiIg
ZGItaWQ9ImVhc3JmZXY1N2RzYXN3ZWRzNXh2MHN6MnNwczAyenYydjJlciIgdGltZXN0YW1wPSIx
NTE4NDQ3NjE1Ij41PC9rZXk+PC9mb3JlaWduLWtleXM+PHJlZi10eXBlIG5hbWU9IkpvdXJuYWwg
QXJ0aWNsZSI+MTc8L3JlZi10eXBlPjxjb250cmlidXRvcnM+PGF1dGhvcnM+PGF1dGhvcj5XaXR0
ZW5iZXJnZXIsIE0uIEQuPC9hdXRob3I+PGF1dGhvcj5IYWdlcm1hbiwgUi4gSi48L2F1dGhvcj48
YXV0aG9yPlNoZXJtYW4sIFMuIEwuPC9hdXRob3I+PGF1dGhvcj5NY0NvbmtpZS1Sb3NlbGwsIEEu
PC9hdXRob3I+PGF1dGhvcj5XZWx0LCBDLiBLLjwvYXV0aG9yPjxhdXRob3I+UmViYXIsIFIuIFcu
PC9hdXRob3I+PGF1dGhvcj5Db3JyaWdhbiwgRS4gQy48L2F1dGhvcj48YXV0aG9yPlNpbXBzb24s
IEouIEwuPC9hdXRob3I+PGF1dGhvcj5OZWxzb24sIEwuIE0uPC9hdXRob3I+PC9hdXRob3JzPjwv
Y29udHJpYnV0b3JzPjxhdXRoLWFkZHJlc3M+SW50cmFtdXJhbCBSZXNlYXJjaCBQcm9ncmFtLCBT
ZWN0aW9uIG9uIFdvbWVuJmFwb3M7cyBIZWFsdGggUmVzZWFyY2gsIERldmVsb3BtZW50YWwgRW5k
b2NyaW5vbG9neSBCcmFuY2gsIE5hdGlvbmFsIEluc3RpdHV0ZSBvZiBDaGlsZCBIZWFsdGggYW5k
IEh1bWFuIERldmVsb3BtZW50LCBOYXRpb25hbCBJbnN0aXR1dGVzIG9mIEhlYWx0aCwgQmV0aGVz
ZGEsIE1hcnlsYW5kIDIwODkyLTExMDMsIFVTQS48L2F1dGgtYWRkcmVzcz48dGl0bGVzPjx0aXRs
ZT5UaGUgRk1SMSBwcmVtdXRhdGlvbiBhbmQgcmVwcm9kdWN0aW9uPC90aXRsZT48c2Vjb25kYXJ5
LXRpdGxlPkZlcnRpbCBTdGVyaWw8L3NlY29uZGFyeS10aXRsZT48L3RpdGxlcz48cGVyaW9kaWNh
bD48ZnVsbC10aXRsZT5GZXJ0aWwgU3RlcmlsPC9mdWxsLXRpdGxlPjwvcGVyaW9kaWNhbD48cGFn
ZXM+NDU2LTY1PC9wYWdlcz48dm9sdW1lPjg3PC92b2x1bWU+PG51bWJlcj4zPC9udW1iZXI+PGVk
aXRpb24+MjAwNi8xMS8wMTwvZWRpdGlvbj48a2V5d29yZHM+PGtleXdvcmQ+QWRvbGVzY2VudDwv
a2V5d29yZD48a2V5d29yZD5BZHVsdDwva2V5d29yZD48a2V5d29yZD5GZW1hbGU8L2tleXdvcmQ+
PGtleXdvcmQ+RnJhZ2lsZSBYIE1lbnRhbCBSZXRhcmRhdGlvbiBQcm90ZWluLypnZW5ldGljczwv
a2V5d29yZD48a2V5d29yZD5GcmFnaWxlIFggU3luZHJvbWUvKmdlbmV0aWNzLypwaHlzaW9wYXRo
b2xvZ3kvdGhlcmFweTwva2V5d29yZD48a2V5d29yZD5HZW5ldGljIENvdW5zZWxpbmc8L2tleXdv
cmQ+PGtleXdvcmQ+R2VuZXRpYyBUZXN0aW5nPC9rZXl3b3JkPjxrZXl3b3JkPkh1bWFuczwva2V5
d29yZD48a2V5d29yZD5NYWxlPC9rZXl3b3JkPjxrZXl3b3JkPipNdXRhdGlvbjwva2V5d29yZD48
a2V5d29yZD5QcmVnbmFuY3k8L2tleXdvcmQ+PGtleXdvcmQ+UHJlaW1wbGFudGF0aW9uIERpYWdu
b3Npczwva2V5d29yZD48a2V5d29yZD5QcmltYXJ5IE92YXJpYW4gSW5zdWZmaWNpZW5jeS9ldGlv
bG9neS8qZ2VuZXRpY3M8L2tleXdvcmQ+PGtleXdvcmQ+VHJpbnVjbGVvdGlkZSBSZXBlYXQgRXhw
YW5zaW9uPC9rZXl3b3JkPjwva2V5d29yZHM+PGRhdGVzPjx5ZWFyPjIwMDc8L3llYXI+PHB1Yi1k
YXRlcz48ZGF0ZT5NYXI8L2RhdGU+PC9wdWItZGF0ZXM+PC9kYXRlcz48aXNibj4xNTU2LTU2NTMg
KEVsZWN0cm9uaWMpJiN4RDswMDE1LTAyODIgKExpbmtpbmcpPC9pc2JuPjxhY2Nlc3Npb24tbnVt
PjE3MDc0MzM4PC9hY2Nlc3Npb24tbnVtPjx1cmxzPjxyZWxhdGVkLXVybHM+PHVybD5odHRwczov
L3d3dy5uY2JpLm5sbS5uaWguZ292L3B1Ym1lZC8xNzA3NDMzODwvdXJsPjwvcmVsYXRlZC11cmxz
PjwvdXJscz48ZWxlY3Ryb25pYy1yZXNvdXJjZS1udW0+MTAuMTAxNi9qLmZlcnRuc3RlcnQuMjAw
Ni4wOS4wMDQ8L2VsZWN0cm9uaWMtcmVzb3VyY2UtbnVtPjwvcmVjb3JkPjwvQ2l0ZT48L0VuZE5v
dGU+
</w:fldData>
        </w:fldChar>
      </w:r>
      <w:r w:rsidR="00106679" w:rsidRPr="0093451B">
        <w:rPr>
          <w:rFonts w:asciiTheme="majorHAnsi" w:hAnsiTheme="majorHAnsi" w:cstheme="majorHAnsi"/>
        </w:rPr>
        <w:instrText xml:space="preserve"> ADDIN EN.CITE </w:instrText>
      </w:r>
      <w:r w:rsidR="00106679" w:rsidRPr="0093451B">
        <w:rPr>
          <w:rFonts w:asciiTheme="majorHAnsi" w:hAnsiTheme="majorHAnsi" w:cstheme="majorHAnsi"/>
        </w:rPr>
        <w:fldChar w:fldCharType="begin">
          <w:fldData xml:space="preserve">PEVuZE5vdGU+PENpdGU+PEF1dGhvcj5XaXR0ZW5iZXJnZXI8L0F1dGhvcj48WWVhcj4yMDA3PC9Z
ZWFyPjxSZWNOdW0+NTwvUmVjTnVtPjxEaXNwbGF5VGV4dD4oNSk8L0Rpc3BsYXlUZXh0PjxyZWNv
cmQ+PHJlYy1udW1iZXI+NTwvcmVjLW51bWJlcj48Zm9yZWlnbi1rZXlzPjxrZXkgYXBwPSJFTiIg
ZGItaWQ9ImVhc3JmZXY1N2RzYXN3ZWRzNXh2MHN6MnNwczAyenYydjJlciIgdGltZXN0YW1wPSIx
NTE4NDQ3NjE1Ij41PC9rZXk+PC9mb3JlaWduLWtleXM+PHJlZi10eXBlIG5hbWU9IkpvdXJuYWwg
QXJ0aWNsZSI+MTc8L3JlZi10eXBlPjxjb250cmlidXRvcnM+PGF1dGhvcnM+PGF1dGhvcj5XaXR0
ZW5iZXJnZXIsIE0uIEQuPC9hdXRob3I+PGF1dGhvcj5IYWdlcm1hbiwgUi4gSi48L2F1dGhvcj48
YXV0aG9yPlNoZXJtYW4sIFMuIEwuPC9hdXRob3I+PGF1dGhvcj5NY0NvbmtpZS1Sb3NlbGwsIEEu
PC9hdXRob3I+PGF1dGhvcj5XZWx0LCBDLiBLLjwvYXV0aG9yPjxhdXRob3I+UmViYXIsIFIuIFcu
PC9hdXRob3I+PGF1dGhvcj5Db3JyaWdhbiwgRS4gQy48L2F1dGhvcj48YXV0aG9yPlNpbXBzb24s
IEouIEwuPC9hdXRob3I+PGF1dGhvcj5OZWxzb24sIEwuIE0uPC9hdXRob3I+PC9hdXRob3JzPjwv
Y29udHJpYnV0b3JzPjxhdXRoLWFkZHJlc3M+SW50cmFtdXJhbCBSZXNlYXJjaCBQcm9ncmFtLCBT
ZWN0aW9uIG9uIFdvbWVuJmFwb3M7cyBIZWFsdGggUmVzZWFyY2gsIERldmVsb3BtZW50YWwgRW5k
b2NyaW5vbG9neSBCcmFuY2gsIE5hdGlvbmFsIEluc3RpdHV0ZSBvZiBDaGlsZCBIZWFsdGggYW5k
IEh1bWFuIERldmVsb3BtZW50LCBOYXRpb25hbCBJbnN0aXR1dGVzIG9mIEhlYWx0aCwgQmV0aGVz
ZGEsIE1hcnlsYW5kIDIwODkyLTExMDMsIFVTQS48L2F1dGgtYWRkcmVzcz48dGl0bGVzPjx0aXRs
ZT5UaGUgRk1SMSBwcmVtdXRhdGlvbiBhbmQgcmVwcm9kdWN0aW9uPC90aXRsZT48c2Vjb25kYXJ5
LXRpdGxlPkZlcnRpbCBTdGVyaWw8L3NlY29uZGFyeS10aXRsZT48L3RpdGxlcz48cGVyaW9kaWNh
bD48ZnVsbC10aXRsZT5GZXJ0aWwgU3RlcmlsPC9mdWxsLXRpdGxlPjwvcGVyaW9kaWNhbD48cGFn
ZXM+NDU2LTY1PC9wYWdlcz48dm9sdW1lPjg3PC92b2x1bWU+PG51bWJlcj4zPC9udW1iZXI+PGVk
aXRpb24+MjAwNi8xMS8wMTwvZWRpdGlvbj48a2V5d29yZHM+PGtleXdvcmQ+QWRvbGVzY2VudDwv
a2V5d29yZD48a2V5d29yZD5BZHVsdDwva2V5d29yZD48a2V5d29yZD5GZW1hbGU8L2tleXdvcmQ+
PGtleXdvcmQ+RnJhZ2lsZSBYIE1lbnRhbCBSZXRhcmRhdGlvbiBQcm90ZWluLypnZW5ldGljczwv
a2V5d29yZD48a2V5d29yZD5GcmFnaWxlIFggU3luZHJvbWUvKmdlbmV0aWNzLypwaHlzaW9wYXRo
b2xvZ3kvdGhlcmFweTwva2V5d29yZD48a2V5d29yZD5HZW5ldGljIENvdW5zZWxpbmc8L2tleXdv
cmQ+PGtleXdvcmQ+R2VuZXRpYyBUZXN0aW5nPC9rZXl3b3JkPjxrZXl3b3JkPkh1bWFuczwva2V5
d29yZD48a2V5d29yZD5NYWxlPC9rZXl3b3JkPjxrZXl3b3JkPipNdXRhdGlvbjwva2V5d29yZD48
a2V5d29yZD5QcmVnbmFuY3k8L2tleXdvcmQ+PGtleXdvcmQ+UHJlaW1wbGFudGF0aW9uIERpYWdu
b3Npczwva2V5d29yZD48a2V5d29yZD5QcmltYXJ5IE92YXJpYW4gSW5zdWZmaWNpZW5jeS9ldGlv
bG9neS8qZ2VuZXRpY3M8L2tleXdvcmQ+PGtleXdvcmQ+VHJpbnVjbGVvdGlkZSBSZXBlYXQgRXhw
YW5zaW9uPC9rZXl3b3JkPjwva2V5d29yZHM+PGRhdGVzPjx5ZWFyPjIwMDc8L3llYXI+PHB1Yi1k
YXRlcz48ZGF0ZT5NYXI8L2RhdGU+PC9wdWItZGF0ZXM+PC9kYXRlcz48aXNibj4xNTU2LTU2NTMg
KEVsZWN0cm9uaWMpJiN4RDswMDE1LTAyODIgKExpbmtpbmcpPC9pc2JuPjxhY2Nlc3Npb24tbnVt
PjE3MDc0MzM4PC9hY2Nlc3Npb24tbnVtPjx1cmxzPjxyZWxhdGVkLXVybHM+PHVybD5odHRwczov
L3d3dy5uY2JpLm5sbS5uaWguZ292L3B1Ym1lZC8xNzA3NDMzODwvdXJsPjwvcmVsYXRlZC11cmxz
PjwvdXJscz48ZWxlY3Ryb25pYy1yZXNvdXJjZS1udW0+MTAuMTAxNi9qLmZlcnRuc3RlcnQuMjAw
Ni4wOS4wMDQ8L2VsZWN0cm9uaWMtcmVzb3VyY2UtbnVtPjwvcmVjb3JkPjwvQ2l0ZT48L0VuZE5v
dGU+
</w:fldData>
        </w:fldChar>
      </w:r>
      <w:r w:rsidR="00106679" w:rsidRPr="0093451B">
        <w:rPr>
          <w:rFonts w:asciiTheme="majorHAnsi" w:hAnsiTheme="majorHAnsi" w:cstheme="majorHAnsi"/>
        </w:rPr>
        <w:instrText xml:space="preserve"> ADDIN EN.CITE.DATA </w:instrText>
      </w:r>
      <w:r w:rsidR="00106679" w:rsidRPr="0093451B">
        <w:rPr>
          <w:rFonts w:asciiTheme="majorHAnsi" w:hAnsiTheme="majorHAnsi" w:cstheme="majorHAnsi"/>
        </w:rPr>
      </w:r>
      <w:r w:rsidR="00106679" w:rsidRPr="0093451B">
        <w:rPr>
          <w:rFonts w:asciiTheme="majorHAnsi" w:hAnsiTheme="majorHAnsi" w:cstheme="majorHAnsi"/>
        </w:rPr>
        <w:fldChar w:fldCharType="end"/>
      </w:r>
      <w:r w:rsidR="00106679" w:rsidRPr="0093451B">
        <w:rPr>
          <w:rFonts w:asciiTheme="majorHAnsi" w:hAnsiTheme="majorHAnsi" w:cstheme="majorHAnsi"/>
        </w:rPr>
      </w:r>
      <w:r w:rsidR="00106679" w:rsidRPr="0093451B">
        <w:rPr>
          <w:rFonts w:asciiTheme="majorHAnsi" w:hAnsiTheme="majorHAnsi" w:cstheme="majorHAnsi"/>
        </w:rPr>
        <w:fldChar w:fldCharType="separate"/>
      </w:r>
      <w:r w:rsidR="00106679" w:rsidRPr="0093451B">
        <w:rPr>
          <w:rFonts w:asciiTheme="majorHAnsi" w:hAnsiTheme="majorHAnsi" w:cstheme="majorHAnsi"/>
          <w:noProof/>
        </w:rPr>
        <w:t>(5)</w:t>
      </w:r>
      <w:r w:rsidR="00106679" w:rsidRPr="0093451B">
        <w:rPr>
          <w:rFonts w:asciiTheme="majorHAnsi" w:hAnsiTheme="majorHAnsi" w:cstheme="majorHAnsi"/>
        </w:rPr>
        <w:fldChar w:fldCharType="end"/>
      </w:r>
      <w:r w:rsidRPr="0093451B">
        <w:rPr>
          <w:rFonts w:asciiTheme="majorHAnsi" w:hAnsiTheme="majorHAnsi" w:cstheme="majorHAnsi"/>
        </w:rPr>
        <w:t xml:space="preserve">.  Although women who carry the pre-mutation do not have an increased risk of intellectual disability, they may develop Fragile-X associated tremor/ataxia syndrome in later life.  </w:t>
      </w:r>
      <w:proofErr w:type="gramStart"/>
      <w:r w:rsidRPr="0093451B">
        <w:rPr>
          <w:rFonts w:asciiTheme="majorHAnsi" w:hAnsiTheme="majorHAnsi" w:cstheme="majorHAnsi"/>
        </w:rPr>
        <w:t>Furthermore</w:t>
      </w:r>
      <w:proofErr w:type="gramEnd"/>
      <w:r w:rsidRPr="0093451B">
        <w:rPr>
          <w:rFonts w:asciiTheme="majorHAnsi" w:hAnsiTheme="majorHAnsi" w:cstheme="majorHAnsi"/>
        </w:rPr>
        <w:t xml:space="preserve"> the presence of the mutation may have major implications for family members who may also be affected and therefore be at risk of developing POI or having children with Fragile-X syndrome.  If family members know they carry the pre-mutation before having children or going through the menopause, there are reproductive and diagnostic options available to them including fertility preservation and/or PGT.  </w:t>
      </w:r>
      <w:r w:rsidR="00C825A2" w:rsidRPr="0093451B">
        <w:rPr>
          <w:rFonts w:asciiTheme="majorHAnsi" w:hAnsiTheme="majorHAnsi" w:cstheme="majorHAnsi"/>
        </w:rPr>
        <w:t>The implications of the fragile-X premutation should be discussed before the test is performed.</w:t>
      </w:r>
    </w:p>
    <w:p w14:paraId="0D606C10" w14:textId="77777777" w:rsidR="0057487C" w:rsidRPr="0093451B" w:rsidRDefault="0057487C" w:rsidP="00AD620B">
      <w:pPr>
        <w:jc w:val="both"/>
        <w:rPr>
          <w:rFonts w:asciiTheme="majorHAnsi" w:hAnsiTheme="majorHAnsi" w:cstheme="majorHAnsi"/>
        </w:rPr>
      </w:pPr>
    </w:p>
    <w:p w14:paraId="471E4AB9" w14:textId="28B34ECA" w:rsidR="0057487C" w:rsidRPr="0093451B" w:rsidRDefault="001500EC" w:rsidP="00AD620B">
      <w:pPr>
        <w:jc w:val="both"/>
        <w:rPr>
          <w:rFonts w:asciiTheme="majorHAnsi" w:hAnsiTheme="majorHAnsi" w:cstheme="majorHAnsi"/>
          <w:b/>
          <w:i/>
        </w:rPr>
      </w:pPr>
      <w:r w:rsidRPr="0093451B">
        <w:rPr>
          <w:rFonts w:asciiTheme="majorHAnsi" w:hAnsiTheme="majorHAnsi" w:cstheme="majorHAnsi"/>
          <w:b/>
          <w:i/>
        </w:rPr>
        <w:t xml:space="preserve">If </w:t>
      </w:r>
      <w:r w:rsidR="00C825A2" w:rsidRPr="0093451B">
        <w:rPr>
          <w:rFonts w:asciiTheme="majorHAnsi" w:hAnsiTheme="majorHAnsi" w:cstheme="majorHAnsi"/>
          <w:b/>
          <w:i/>
        </w:rPr>
        <w:t>Fragile X mutation is diagnosed</w:t>
      </w:r>
      <w:r w:rsidRPr="0093451B">
        <w:rPr>
          <w:rFonts w:asciiTheme="majorHAnsi" w:hAnsiTheme="majorHAnsi" w:cstheme="majorHAnsi"/>
          <w:b/>
          <w:i/>
        </w:rPr>
        <w:t>, refer to</w:t>
      </w:r>
      <w:r w:rsidR="004C4622" w:rsidRPr="0093451B">
        <w:rPr>
          <w:rFonts w:asciiTheme="majorHAnsi" w:hAnsiTheme="majorHAnsi" w:cstheme="majorHAnsi"/>
          <w:b/>
          <w:i/>
        </w:rPr>
        <w:t xml:space="preserve"> the</w:t>
      </w:r>
      <w:r w:rsidRPr="0093451B">
        <w:rPr>
          <w:rFonts w:asciiTheme="majorHAnsi" w:hAnsiTheme="majorHAnsi" w:cstheme="majorHAnsi"/>
          <w:b/>
          <w:i/>
        </w:rPr>
        <w:t xml:space="preserve"> clinical genetics</w:t>
      </w:r>
      <w:r w:rsidR="004C4622" w:rsidRPr="0093451B">
        <w:rPr>
          <w:rFonts w:asciiTheme="majorHAnsi" w:hAnsiTheme="majorHAnsi" w:cstheme="majorHAnsi"/>
          <w:b/>
          <w:i/>
        </w:rPr>
        <w:t xml:space="preserve"> team</w:t>
      </w:r>
    </w:p>
    <w:p w14:paraId="0B41D512" w14:textId="77777777" w:rsidR="00C825A2" w:rsidRPr="00AD620B" w:rsidRDefault="00C825A2" w:rsidP="00AD620B">
      <w:pPr>
        <w:jc w:val="both"/>
        <w:rPr>
          <w:b/>
          <w:i/>
        </w:rPr>
      </w:pPr>
    </w:p>
    <w:p w14:paraId="70257BC9" w14:textId="77777777" w:rsidR="001500EC" w:rsidRDefault="001500EC" w:rsidP="00AD620B">
      <w:pPr>
        <w:jc w:val="both"/>
      </w:pPr>
    </w:p>
    <w:p w14:paraId="690AD364" w14:textId="20242F31" w:rsidR="0057487C" w:rsidRPr="0093451B" w:rsidRDefault="0057487C" w:rsidP="001533FF">
      <w:pPr>
        <w:pStyle w:val="Heading3"/>
        <w:numPr>
          <w:ilvl w:val="0"/>
          <w:numId w:val="15"/>
        </w:numPr>
        <w:rPr>
          <w:sz w:val="28"/>
          <w:szCs w:val="28"/>
        </w:rPr>
      </w:pPr>
      <w:r w:rsidRPr="0093451B">
        <w:rPr>
          <w:sz w:val="28"/>
          <w:szCs w:val="28"/>
        </w:rPr>
        <w:t>Thyroid peroxidase (TPO) antibodies</w:t>
      </w:r>
    </w:p>
    <w:p w14:paraId="5F5C8974" w14:textId="77777777" w:rsidR="008066D2" w:rsidRDefault="008066D2" w:rsidP="00AD620B">
      <w:pPr>
        <w:jc w:val="both"/>
      </w:pPr>
    </w:p>
    <w:p w14:paraId="7C121715" w14:textId="77777777" w:rsidR="00AD620B" w:rsidRPr="0093451B" w:rsidRDefault="00AD620B" w:rsidP="00AD620B">
      <w:pPr>
        <w:jc w:val="both"/>
        <w:rPr>
          <w:rFonts w:asciiTheme="majorHAnsi" w:hAnsiTheme="majorHAnsi" w:cstheme="majorHAnsi"/>
        </w:rPr>
      </w:pPr>
      <w:r w:rsidRPr="0093451B">
        <w:rPr>
          <w:rFonts w:asciiTheme="majorHAnsi" w:hAnsiTheme="majorHAnsi" w:cstheme="majorHAnsi"/>
        </w:rPr>
        <w:t xml:space="preserve">Autoimmune disorders are more common in women with POI than in the general population and POI is more frequent in women with certain autoimmune disorders than others.  </w:t>
      </w:r>
    </w:p>
    <w:p w14:paraId="5D0C68B4" w14:textId="77777777" w:rsidR="00AD620B" w:rsidRPr="0093451B" w:rsidRDefault="00AD620B" w:rsidP="00AD620B">
      <w:pPr>
        <w:jc w:val="both"/>
        <w:rPr>
          <w:rFonts w:asciiTheme="majorHAnsi" w:hAnsiTheme="majorHAnsi" w:cstheme="majorHAnsi"/>
        </w:rPr>
      </w:pPr>
    </w:p>
    <w:p w14:paraId="4019A6C5" w14:textId="41580164" w:rsidR="008066D2" w:rsidRPr="0093451B" w:rsidRDefault="008066D2" w:rsidP="00AD620B">
      <w:pPr>
        <w:jc w:val="both"/>
        <w:rPr>
          <w:rFonts w:asciiTheme="majorHAnsi" w:hAnsiTheme="majorHAnsi" w:cstheme="majorHAnsi"/>
        </w:rPr>
      </w:pPr>
      <w:r w:rsidRPr="0093451B">
        <w:rPr>
          <w:rFonts w:asciiTheme="majorHAnsi" w:hAnsiTheme="majorHAnsi" w:cstheme="majorHAnsi"/>
        </w:rPr>
        <w:t xml:space="preserve">The frequency of TPO Abs in the POI population is approximately 24% compared to 12-15% in the general population.  Although unlike Addison’s disease, untreated hypothyroidism is not life-threatening, it </w:t>
      </w:r>
      <w:r w:rsidR="00C825A2" w:rsidRPr="0093451B">
        <w:rPr>
          <w:rFonts w:asciiTheme="majorHAnsi" w:hAnsiTheme="majorHAnsi" w:cstheme="majorHAnsi"/>
        </w:rPr>
        <w:t>significantly affects</w:t>
      </w:r>
      <w:r w:rsidRPr="0093451B">
        <w:rPr>
          <w:rFonts w:asciiTheme="majorHAnsi" w:hAnsiTheme="majorHAnsi" w:cstheme="majorHAnsi"/>
        </w:rPr>
        <w:t xml:space="preserve"> quality of life, which may already be compromised following a diagnosis of POI.  </w:t>
      </w:r>
    </w:p>
    <w:p w14:paraId="331FA431" w14:textId="77777777" w:rsidR="0057487C" w:rsidRPr="0093451B" w:rsidRDefault="0057487C" w:rsidP="00AD620B">
      <w:pPr>
        <w:jc w:val="both"/>
        <w:rPr>
          <w:rFonts w:asciiTheme="majorHAnsi" w:hAnsiTheme="majorHAnsi" w:cstheme="majorHAnsi"/>
        </w:rPr>
      </w:pPr>
    </w:p>
    <w:p w14:paraId="5FEAB05C" w14:textId="77777777" w:rsidR="0057487C" w:rsidRPr="0093451B" w:rsidRDefault="0057487C" w:rsidP="00AD620B">
      <w:pPr>
        <w:jc w:val="both"/>
        <w:rPr>
          <w:rFonts w:asciiTheme="majorHAnsi" w:hAnsiTheme="majorHAnsi" w:cstheme="majorHAnsi"/>
          <w:b/>
          <w:i/>
        </w:rPr>
      </w:pPr>
      <w:r w:rsidRPr="0093451B">
        <w:rPr>
          <w:rFonts w:asciiTheme="majorHAnsi" w:hAnsiTheme="majorHAnsi" w:cstheme="majorHAnsi"/>
          <w:b/>
          <w:i/>
        </w:rPr>
        <w:t>If positive, ask GP to check TSH levels annually and commence thyroxine replacement if indicated</w:t>
      </w:r>
    </w:p>
    <w:p w14:paraId="497C9AFA" w14:textId="4E9F2FE2" w:rsidR="0057487C" w:rsidRDefault="0057487C" w:rsidP="00AD620B">
      <w:pPr>
        <w:jc w:val="both"/>
      </w:pPr>
    </w:p>
    <w:p w14:paraId="4BFCDFC5" w14:textId="77777777" w:rsidR="00C825A2" w:rsidRDefault="00C825A2" w:rsidP="00AD620B">
      <w:pPr>
        <w:jc w:val="both"/>
      </w:pPr>
    </w:p>
    <w:p w14:paraId="4C5255B1" w14:textId="1A24F3ED" w:rsidR="0057487C" w:rsidRPr="0093451B" w:rsidRDefault="0057487C" w:rsidP="001533FF">
      <w:pPr>
        <w:pStyle w:val="Heading3"/>
        <w:numPr>
          <w:ilvl w:val="0"/>
          <w:numId w:val="15"/>
        </w:numPr>
        <w:rPr>
          <w:sz w:val="28"/>
          <w:szCs w:val="28"/>
        </w:rPr>
      </w:pPr>
      <w:r w:rsidRPr="0093451B">
        <w:rPr>
          <w:sz w:val="28"/>
          <w:szCs w:val="28"/>
        </w:rPr>
        <w:lastRenderedPageBreak/>
        <w:t>Adrenal (either 21-hydroxylase or adrenocortical) antibodies</w:t>
      </w:r>
    </w:p>
    <w:p w14:paraId="0DAE3E39" w14:textId="77777777" w:rsidR="008066D2" w:rsidRDefault="008066D2" w:rsidP="00AD620B">
      <w:pPr>
        <w:jc w:val="both"/>
      </w:pPr>
    </w:p>
    <w:p w14:paraId="7095B8CB" w14:textId="4ACD7FA2" w:rsidR="008066D2" w:rsidRPr="0093451B" w:rsidRDefault="008066D2" w:rsidP="00AD620B">
      <w:pPr>
        <w:jc w:val="both"/>
        <w:rPr>
          <w:rFonts w:asciiTheme="majorHAnsi" w:hAnsiTheme="majorHAnsi" w:cstheme="majorHAnsi"/>
        </w:rPr>
      </w:pPr>
      <w:r w:rsidRPr="0093451B">
        <w:rPr>
          <w:rFonts w:asciiTheme="majorHAnsi" w:hAnsiTheme="majorHAnsi" w:cstheme="majorHAnsi"/>
        </w:rPr>
        <w:t>Although rare, early recognition of adrenal insufficiency is essential to avoid unnecessary morbidity and mortality associated with the condition</w:t>
      </w:r>
      <w:r w:rsidR="00C825A2" w:rsidRPr="0093451B">
        <w:rPr>
          <w:rFonts w:asciiTheme="majorHAnsi" w:hAnsiTheme="majorHAnsi" w:cstheme="majorHAnsi"/>
        </w:rPr>
        <w:t>.</w:t>
      </w:r>
    </w:p>
    <w:p w14:paraId="3ADF2467" w14:textId="77777777" w:rsidR="0057487C" w:rsidRPr="0093451B" w:rsidRDefault="0057487C" w:rsidP="00AD620B">
      <w:pPr>
        <w:jc w:val="both"/>
        <w:rPr>
          <w:rFonts w:asciiTheme="majorHAnsi" w:hAnsiTheme="majorHAnsi" w:cstheme="majorHAnsi"/>
          <w:b/>
          <w:i/>
        </w:rPr>
      </w:pPr>
    </w:p>
    <w:p w14:paraId="1D84698C" w14:textId="196E2574" w:rsidR="0057487C" w:rsidRPr="0093451B" w:rsidRDefault="001500EC" w:rsidP="00AD620B">
      <w:pPr>
        <w:jc w:val="both"/>
        <w:rPr>
          <w:rFonts w:asciiTheme="majorHAnsi" w:hAnsiTheme="majorHAnsi" w:cstheme="majorHAnsi"/>
          <w:b/>
          <w:i/>
        </w:rPr>
      </w:pPr>
      <w:r w:rsidRPr="0093451B">
        <w:rPr>
          <w:rFonts w:asciiTheme="majorHAnsi" w:hAnsiTheme="majorHAnsi" w:cstheme="majorHAnsi"/>
          <w:b/>
          <w:i/>
        </w:rPr>
        <w:t>If positive, r</w:t>
      </w:r>
      <w:r w:rsidR="0057487C" w:rsidRPr="0093451B">
        <w:rPr>
          <w:rFonts w:asciiTheme="majorHAnsi" w:hAnsiTheme="majorHAnsi" w:cstheme="majorHAnsi"/>
          <w:b/>
          <w:i/>
        </w:rPr>
        <w:t>efer to endocrinology</w:t>
      </w:r>
      <w:r w:rsidR="00C825A2" w:rsidRPr="0093451B">
        <w:rPr>
          <w:rFonts w:asciiTheme="majorHAnsi" w:hAnsiTheme="majorHAnsi" w:cstheme="majorHAnsi"/>
          <w:b/>
          <w:i/>
        </w:rPr>
        <w:t xml:space="preserve"> for adrenal function testing</w:t>
      </w:r>
    </w:p>
    <w:p w14:paraId="2AC1E74F" w14:textId="77777777" w:rsidR="00C825A2" w:rsidRPr="00AD620B" w:rsidRDefault="00C825A2" w:rsidP="00AD620B">
      <w:pPr>
        <w:jc w:val="both"/>
        <w:rPr>
          <w:b/>
          <w:i/>
        </w:rPr>
      </w:pPr>
    </w:p>
    <w:p w14:paraId="7BD1E970" w14:textId="77777777" w:rsidR="0057487C" w:rsidRDefault="0057487C" w:rsidP="00AD620B">
      <w:pPr>
        <w:jc w:val="both"/>
      </w:pPr>
    </w:p>
    <w:p w14:paraId="3EF555C3" w14:textId="6EF77749" w:rsidR="0057487C" w:rsidRPr="0093451B" w:rsidRDefault="0057487C" w:rsidP="001533FF">
      <w:pPr>
        <w:pStyle w:val="Heading3"/>
        <w:numPr>
          <w:ilvl w:val="0"/>
          <w:numId w:val="15"/>
        </w:numPr>
        <w:rPr>
          <w:sz w:val="28"/>
          <w:szCs w:val="28"/>
        </w:rPr>
      </w:pPr>
      <w:r w:rsidRPr="0093451B">
        <w:rPr>
          <w:sz w:val="28"/>
          <w:szCs w:val="28"/>
        </w:rPr>
        <w:t>Bone mineral density (DEXA) scan</w:t>
      </w:r>
    </w:p>
    <w:p w14:paraId="64E7FF37" w14:textId="77777777" w:rsidR="001500EC" w:rsidRDefault="001500EC" w:rsidP="00AD620B">
      <w:pPr>
        <w:pStyle w:val="ListParagraph"/>
        <w:jc w:val="both"/>
      </w:pPr>
    </w:p>
    <w:p w14:paraId="71C38FF0" w14:textId="75323D9E" w:rsidR="008563C6" w:rsidRPr="0093451B" w:rsidRDefault="008563C6" w:rsidP="00AD620B">
      <w:pPr>
        <w:jc w:val="both"/>
        <w:rPr>
          <w:rFonts w:asciiTheme="majorHAnsi" w:hAnsiTheme="majorHAnsi" w:cstheme="majorHAnsi"/>
        </w:rPr>
      </w:pPr>
      <w:r w:rsidRPr="0093451B">
        <w:rPr>
          <w:rFonts w:asciiTheme="majorHAnsi" w:hAnsiTheme="majorHAnsi" w:cstheme="majorHAnsi"/>
        </w:rPr>
        <w:t>Bone mineral density should be measured at diagnosis in POI, and during ongoing care:</w:t>
      </w:r>
    </w:p>
    <w:p w14:paraId="2372BD0D" w14:textId="490C3973" w:rsidR="008563C6" w:rsidRPr="0093451B" w:rsidRDefault="008563C6" w:rsidP="00AD620B">
      <w:pPr>
        <w:jc w:val="both"/>
        <w:rPr>
          <w:rFonts w:asciiTheme="majorHAnsi" w:hAnsiTheme="majorHAnsi" w:cstheme="majorHAnsi"/>
        </w:rPr>
      </w:pPr>
    </w:p>
    <w:p w14:paraId="7504BD0D" w14:textId="4F320BF0" w:rsidR="008563C6" w:rsidRPr="0093451B" w:rsidRDefault="008563C6" w:rsidP="00AD620B">
      <w:pPr>
        <w:jc w:val="both"/>
        <w:rPr>
          <w:rFonts w:asciiTheme="majorHAnsi" w:hAnsiTheme="majorHAnsi" w:cstheme="majorHAnsi"/>
          <w:color w:val="000000" w:themeColor="text1"/>
        </w:rPr>
      </w:pPr>
      <w:r w:rsidRPr="0093451B">
        <w:rPr>
          <w:rFonts w:asciiTheme="majorHAnsi" w:hAnsiTheme="majorHAnsi" w:cstheme="majorHAnsi"/>
        </w:rPr>
        <w:t xml:space="preserve">If BMD is normal and systemic </w:t>
      </w:r>
      <w:commentRangeStart w:id="0"/>
      <w:r w:rsidRPr="0093451B">
        <w:rPr>
          <w:rFonts w:asciiTheme="majorHAnsi" w:hAnsiTheme="majorHAnsi" w:cstheme="majorHAnsi"/>
          <w:color w:val="000000" w:themeColor="text1"/>
        </w:rPr>
        <w:t>oestrogen replacement is commenced, the value of repeated DEXA scan is limited.</w:t>
      </w:r>
      <w:commentRangeEnd w:id="0"/>
      <w:r w:rsidRPr="0093451B">
        <w:rPr>
          <w:rStyle w:val="CommentReference"/>
          <w:rFonts w:asciiTheme="majorHAnsi" w:hAnsiTheme="majorHAnsi" w:cstheme="majorHAnsi"/>
          <w:color w:val="000000" w:themeColor="text1"/>
        </w:rPr>
        <w:commentReference w:id="0"/>
      </w:r>
    </w:p>
    <w:p w14:paraId="4E00E42F" w14:textId="707B382B" w:rsidR="008563C6" w:rsidRPr="0093451B" w:rsidRDefault="008563C6" w:rsidP="00AD620B">
      <w:pPr>
        <w:jc w:val="both"/>
        <w:rPr>
          <w:rFonts w:asciiTheme="majorHAnsi" w:hAnsiTheme="majorHAnsi" w:cstheme="majorHAnsi"/>
        </w:rPr>
      </w:pPr>
    </w:p>
    <w:p w14:paraId="4226AC74" w14:textId="7996054B" w:rsidR="008563C6" w:rsidRPr="0093451B" w:rsidRDefault="008563C6" w:rsidP="00AD620B">
      <w:pPr>
        <w:jc w:val="both"/>
        <w:rPr>
          <w:rFonts w:asciiTheme="majorHAnsi" w:hAnsiTheme="majorHAnsi" w:cstheme="majorHAnsi"/>
        </w:rPr>
      </w:pPr>
      <w:r w:rsidRPr="0093451B">
        <w:rPr>
          <w:rFonts w:asciiTheme="majorHAnsi" w:hAnsiTheme="majorHAnsi" w:cstheme="majorHAnsi"/>
        </w:rPr>
        <w:t>If a diagnosis of osteoporosis is made and oestrogen replacement or other therapy is initiated, the DEXA scan should be repeated within 5 years.</w:t>
      </w:r>
    </w:p>
    <w:p w14:paraId="56CD5CA3" w14:textId="77777777" w:rsidR="008563C6" w:rsidRPr="0093451B" w:rsidRDefault="008563C6" w:rsidP="00AD620B">
      <w:pPr>
        <w:jc w:val="both"/>
        <w:rPr>
          <w:rFonts w:asciiTheme="majorHAnsi" w:hAnsiTheme="majorHAnsi" w:cstheme="majorHAnsi"/>
        </w:rPr>
      </w:pPr>
    </w:p>
    <w:p w14:paraId="3336D7F8" w14:textId="319F9B99" w:rsidR="0057487C" w:rsidRPr="0093451B" w:rsidRDefault="008563C6" w:rsidP="00AD620B">
      <w:pPr>
        <w:jc w:val="both"/>
        <w:rPr>
          <w:rFonts w:asciiTheme="majorHAnsi" w:hAnsiTheme="majorHAnsi" w:cstheme="majorHAnsi"/>
        </w:rPr>
      </w:pPr>
      <w:r w:rsidRPr="0093451B">
        <w:rPr>
          <w:rFonts w:asciiTheme="majorHAnsi" w:hAnsiTheme="majorHAnsi" w:cstheme="majorHAnsi"/>
        </w:rPr>
        <w:t xml:space="preserve">DEXA scans </w:t>
      </w:r>
      <w:r w:rsidR="0057487C" w:rsidRPr="0093451B">
        <w:rPr>
          <w:rFonts w:asciiTheme="majorHAnsi" w:hAnsiTheme="majorHAnsi" w:cstheme="majorHAnsi"/>
        </w:rPr>
        <w:t xml:space="preserve">should be repeated every two years if: </w:t>
      </w:r>
    </w:p>
    <w:p w14:paraId="5A0809A7" w14:textId="77777777" w:rsidR="00AD620B" w:rsidRPr="0093451B" w:rsidRDefault="00AD620B" w:rsidP="00AD620B">
      <w:pPr>
        <w:jc w:val="both"/>
        <w:rPr>
          <w:rFonts w:asciiTheme="majorHAnsi" w:hAnsiTheme="majorHAnsi" w:cstheme="majorHAnsi"/>
        </w:rPr>
      </w:pPr>
    </w:p>
    <w:p w14:paraId="01672D3B" w14:textId="77777777" w:rsidR="0057487C" w:rsidRPr="0093451B" w:rsidRDefault="0057487C" w:rsidP="00AD620B">
      <w:pPr>
        <w:pStyle w:val="ListParagraph"/>
        <w:numPr>
          <w:ilvl w:val="0"/>
          <w:numId w:val="4"/>
        </w:numPr>
        <w:jc w:val="both"/>
        <w:rPr>
          <w:rFonts w:asciiTheme="majorHAnsi" w:hAnsiTheme="majorHAnsi" w:cstheme="majorHAnsi"/>
        </w:rPr>
      </w:pPr>
      <w:r w:rsidRPr="0093451B">
        <w:rPr>
          <w:rFonts w:asciiTheme="majorHAnsi" w:hAnsiTheme="majorHAnsi" w:cstheme="majorHAnsi"/>
        </w:rPr>
        <w:t xml:space="preserve">not commenced on oestrogen replacement </w:t>
      </w:r>
    </w:p>
    <w:p w14:paraId="6E3ED093" w14:textId="77777777" w:rsidR="0057487C" w:rsidRPr="0093451B" w:rsidRDefault="0057487C" w:rsidP="00AD620B">
      <w:pPr>
        <w:pStyle w:val="ListParagraph"/>
        <w:numPr>
          <w:ilvl w:val="0"/>
          <w:numId w:val="4"/>
        </w:numPr>
        <w:jc w:val="both"/>
        <w:rPr>
          <w:rFonts w:asciiTheme="majorHAnsi" w:hAnsiTheme="majorHAnsi" w:cstheme="majorHAnsi"/>
        </w:rPr>
      </w:pPr>
      <w:r w:rsidRPr="0093451B">
        <w:rPr>
          <w:rFonts w:asciiTheme="majorHAnsi" w:hAnsiTheme="majorHAnsi" w:cstheme="majorHAnsi"/>
        </w:rPr>
        <w:t xml:space="preserve">not compliant with oestrogen replacement </w:t>
      </w:r>
    </w:p>
    <w:p w14:paraId="7AD494AE" w14:textId="532108DC" w:rsidR="0057487C" w:rsidRPr="0093451B" w:rsidRDefault="0057487C" w:rsidP="001533FF">
      <w:pPr>
        <w:pStyle w:val="ListParagraph"/>
        <w:numPr>
          <w:ilvl w:val="0"/>
          <w:numId w:val="4"/>
        </w:numPr>
        <w:rPr>
          <w:rFonts w:asciiTheme="majorHAnsi" w:hAnsiTheme="majorHAnsi" w:cstheme="majorHAnsi"/>
        </w:rPr>
      </w:pPr>
      <w:r w:rsidRPr="0093451B">
        <w:rPr>
          <w:rFonts w:asciiTheme="majorHAnsi" w:hAnsiTheme="majorHAnsi" w:cstheme="majorHAnsi"/>
        </w:rPr>
        <w:t>on</w:t>
      </w:r>
      <w:r w:rsidR="008563C6" w:rsidRPr="0093451B">
        <w:rPr>
          <w:rFonts w:asciiTheme="majorHAnsi" w:hAnsiTheme="majorHAnsi" w:cstheme="majorHAnsi"/>
        </w:rPr>
        <w:t xml:space="preserve"> </w:t>
      </w:r>
      <w:r w:rsidRPr="0093451B">
        <w:rPr>
          <w:rFonts w:asciiTheme="majorHAnsi" w:hAnsiTheme="majorHAnsi" w:cstheme="majorHAnsi"/>
        </w:rPr>
        <w:t>oestrogen repla</w:t>
      </w:r>
      <w:r w:rsidR="001500EC" w:rsidRPr="0093451B">
        <w:rPr>
          <w:rFonts w:asciiTheme="majorHAnsi" w:hAnsiTheme="majorHAnsi" w:cstheme="majorHAnsi"/>
        </w:rPr>
        <w:t xml:space="preserve">cement but previous evidence of </w:t>
      </w:r>
      <w:r w:rsidRPr="0093451B">
        <w:rPr>
          <w:rFonts w:asciiTheme="majorHAnsi" w:hAnsiTheme="majorHAnsi" w:cstheme="majorHAnsi"/>
        </w:rPr>
        <w:t xml:space="preserve">osteopenia/osteoporosis.  </w:t>
      </w:r>
    </w:p>
    <w:p w14:paraId="4858D790" w14:textId="77777777" w:rsidR="0057487C" w:rsidRPr="0093451B" w:rsidRDefault="0057487C" w:rsidP="00AD620B">
      <w:pPr>
        <w:jc w:val="both"/>
        <w:rPr>
          <w:rFonts w:asciiTheme="majorHAnsi" w:hAnsiTheme="majorHAnsi" w:cstheme="majorHAnsi"/>
        </w:rPr>
      </w:pPr>
    </w:p>
    <w:p w14:paraId="13528F00" w14:textId="67280575" w:rsidR="0057487C" w:rsidRPr="0093451B" w:rsidRDefault="0057487C" w:rsidP="00AD620B">
      <w:pPr>
        <w:jc w:val="both"/>
        <w:rPr>
          <w:rFonts w:asciiTheme="majorHAnsi" w:hAnsiTheme="majorHAnsi" w:cstheme="majorHAnsi"/>
          <w:b/>
          <w:i/>
        </w:rPr>
      </w:pPr>
      <w:r w:rsidRPr="0093451B">
        <w:rPr>
          <w:rFonts w:asciiTheme="majorHAnsi" w:hAnsiTheme="majorHAnsi" w:cstheme="majorHAnsi"/>
          <w:b/>
          <w:i/>
        </w:rPr>
        <w:t>Refer to endocrinology</w:t>
      </w:r>
      <w:r w:rsidR="00C825A2" w:rsidRPr="0093451B">
        <w:rPr>
          <w:rFonts w:asciiTheme="majorHAnsi" w:hAnsiTheme="majorHAnsi" w:cstheme="majorHAnsi"/>
          <w:b/>
          <w:i/>
        </w:rPr>
        <w:t xml:space="preserve"> </w:t>
      </w:r>
      <w:r w:rsidRPr="0093451B">
        <w:rPr>
          <w:rFonts w:asciiTheme="majorHAnsi" w:hAnsiTheme="majorHAnsi" w:cstheme="majorHAnsi"/>
          <w:b/>
          <w:i/>
        </w:rPr>
        <w:t>if there is evidence of osteopenia/osteoporosis and oestrogen replacement is contraindicated or declined.</w:t>
      </w:r>
    </w:p>
    <w:p w14:paraId="6144A4C0" w14:textId="048F7666" w:rsidR="001500EC" w:rsidRPr="0093451B" w:rsidRDefault="001500EC" w:rsidP="00AD620B">
      <w:pPr>
        <w:jc w:val="both"/>
        <w:rPr>
          <w:rFonts w:asciiTheme="majorHAnsi" w:hAnsiTheme="majorHAnsi" w:cstheme="majorHAnsi"/>
        </w:rPr>
      </w:pPr>
    </w:p>
    <w:p w14:paraId="0EBDC93A" w14:textId="77777777" w:rsidR="001533FF" w:rsidRPr="0093451B" w:rsidRDefault="001533FF" w:rsidP="00AD620B">
      <w:pPr>
        <w:jc w:val="both"/>
        <w:rPr>
          <w:rFonts w:asciiTheme="majorHAnsi" w:hAnsiTheme="majorHAnsi" w:cstheme="majorHAnsi"/>
        </w:rPr>
      </w:pPr>
    </w:p>
    <w:p w14:paraId="21714AF8" w14:textId="0DE1F3C3" w:rsidR="001500EC" w:rsidRPr="0093451B" w:rsidRDefault="00FA54AB" w:rsidP="001533FF">
      <w:pPr>
        <w:pStyle w:val="Heading2"/>
        <w:rPr>
          <w:sz w:val="28"/>
          <w:szCs w:val="28"/>
        </w:rPr>
      </w:pPr>
      <w:r w:rsidRPr="0093451B">
        <w:rPr>
          <w:sz w:val="28"/>
          <w:szCs w:val="28"/>
        </w:rPr>
        <w:t>MANAGEMENT</w:t>
      </w:r>
    </w:p>
    <w:p w14:paraId="1255D12E" w14:textId="77777777" w:rsidR="001500EC" w:rsidRDefault="001500EC" w:rsidP="00AD620B">
      <w:pPr>
        <w:jc w:val="both"/>
      </w:pPr>
    </w:p>
    <w:p w14:paraId="01469753" w14:textId="6C417937" w:rsidR="001500EC" w:rsidRPr="0093451B" w:rsidRDefault="001500EC" w:rsidP="001533FF">
      <w:pPr>
        <w:pStyle w:val="Heading3"/>
        <w:numPr>
          <w:ilvl w:val="0"/>
          <w:numId w:val="16"/>
        </w:numPr>
        <w:rPr>
          <w:sz w:val="28"/>
          <w:szCs w:val="28"/>
        </w:rPr>
      </w:pPr>
      <w:r w:rsidRPr="0093451B">
        <w:rPr>
          <w:sz w:val="28"/>
          <w:szCs w:val="28"/>
        </w:rPr>
        <w:t>Lifestyle advice</w:t>
      </w:r>
    </w:p>
    <w:p w14:paraId="283CC0A6" w14:textId="77777777" w:rsidR="0067000D" w:rsidRPr="0093451B" w:rsidRDefault="0067000D" w:rsidP="0067000D">
      <w:pPr>
        <w:jc w:val="both"/>
        <w:rPr>
          <w:rFonts w:asciiTheme="majorHAnsi" w:hAnsiTheme="majorHAnsi" w:cstheme="majorHAnsi"/>
        </w:rPr>
      </w:pPr>
    </w:p>
    <w:p w14:paraId="0BAC554B" w14:textId="621BBF3B" w:rsidR="0067000D" w:rsidRPr="0093451B" w:rsidRDefault="0067000D" w:rsidP="0067000D">
      <w:pPr>
        <w:jc w:val="both"/>
        <w:rPr>
          <w:rFonts w:asciiTheme="majorHAnsi" w:hAnsiTheme="majorHAnsi" w:cstheme="majorHAnsi"/>
          <w:color w:val="FF0000"/>
        </w:rPr>
      </w:pPr>
      <w:r w:rsidRPr="0093451B">
        <w:rPr>
          <w:rFonts w:asciiTheme="majorHAnsi" w:hAnsiTheme="majorHAnsi" w:cstheme="majorHAnsi"/>
        </w:rPr>
        <w:t>All women with POI should be advised to maintain a healthy lifestyle including weight bearing exercise, a balanced diet containing the recommended intake of calcium and vitamin D</w:t>
      </w:r>
      <w:r w:rsidR="00185B4E" w:rsidRPr="0093451B">
        <w:rPr>
          <w:rFonts w:asciiTheme="majorHAnsi" w:hAnsiTheme="majorHAnsi" w:cstheme="majorHAnsi"/>
        </w:rPr>
        <w:t>, avoidance of alcohol</w:t>
      </w:r>
      <w:r w:rsidRPr="0093451B">
        <w:rPr>
          <w:rFonts w:asciiTheme="majorHAnsi" w:hAnsiTheme="majorHAnsi" w:cstheme="majorHAnsi"/>
        </w:rPr>
        <w:t xml:space="preserve"> and smoking cessation</w:t>
      </w:r>
      <w:r w:rsidR="00856B30" w:rsidRPr="0093451B">
        <w:rPr>
          <w:rFonts w:asciiTheme="majorHAnsi" w:hAnsiTheme="majorHAnsi" w:cstheme="majorHAnsi"/>
        </w:rPr>
        <w:t xml:space="preserve">. </w:t>
      </w:r>
      <w:r w:rsidR="008563C6" w:rsidRPr="0093451B">
        <w:rPr>
          <w:rFonts w:asciiTheme="majorHAnsi" w:hAnsiTheme="majorHAnsi" w:cstheme="majorHAnsi"/>
        </w:rPr>
        <w:t xml:space="preserve">Consideration should also be given to ensuring a healthy BMI is maintained. </w:t>
      </w:r>
    </w:p>
    <w:p w14:paraId="4529FCE9" w14:textId="77777777" w:rsidR="001533FF" w:rsidRPr="001533FF" w:rsidRDefault="001533FF" w:rsidP="0067000D">
      <w:pPr>
        <w:jc w:val="both"/>
        <w:rPr>
          <w:color w:val="FF0000"/>
        </w:rPr>
      </w:pPr>
    </w:p>
    <w:p w14:paraId="6D50C428" w14:textId="77777777" w:rsidR="0067000D" w:rsidRDefault="0067000D" w:rsidP="0067000D">
      <w:pPr>
        <w:jc w:val="both"/>
      </w:pPr>
    </w:p>
    <w:p w14:paraId="0C27F4D1" w14:textId="1294D9DE" w:rsidR="001500EC" w:rsidRPr="0093451B" w:rsidRDefault="001500EC" w:rsidP="001533FF">
      <w:pPr>
        <w:pStyle w:val="Heading3"/>
        <w:numPr>
          <w:ilvl w:val="0"/>
          <w:numId w:val="16"/>
        </w:numPr>
        <w:rPr>
          <w:sz w:val="28"/>
          <w:szCs w:val="28"/>
        </w:rPr>
      </w:pPr>
      <w:r w:rsidRPr="0093451B">
        <w:rPr>
          <w:sz w:val="28"/>
          <w:szCs w:val="28"/>
        </w:rPr>
        <w:t>Hormone replacement</w:t>
      </w:r>
    </w:p>
    <w:p w14:paraId="660FA473" w14:textId="77777777" w:rsidR="0017577B" w:rsidRDefault="0017577B" w:rsidP="00F25443">
      <w:pPr>
        <w:widowControl w:val="0"/>
        <w:autoSpaceDE w:val="0"/>
        <w:autoSpaceDN w:val="0"/>
        <w:adjustRightInd w:val="0"/>
        <w:jc w:val="both"/>
        <w:rPr>
          <w:rFonts w:cs="Arial"/>
        </w:rPr>
      </w:pPr>
    </w:p>
    <w:p w14:paraId="61C4567E" w14:textId="58B4E96C" w:rsidR="00CF35D0" w:rsidRPr="0093451B" w:rsidRDefault="0067000D" w:rsidP="00F25443">
      <w:pPr>
        <w:widowControl w:val="0"/>
        <w:autoSpaceDE w:val="0"/>
        <w:autoSpaceDN w:val="0"/>
        <w:adjustRightInd w:val="0"/>
        <w:jc w:val="both"/>
        <w:rPr>
          <w:rFonts w:asciiTheme="majorHAnsi" w:hAnsiTheme="majorHAnsi" w:cstheme="majorHAnsi"/>
        </w:rPr>
      </w:pPr>
      <w:r w:rsidRPr="0093451B">
        <w:rPr>
          <w:rFonts w:asciiTheme="majorHAnsi" w:hAnsiTheme="majorHAnsi" w:cstheme="majorHAnsi"/>
        </w:rPr>
        <w:t xml:space="preserve">Women with POI should be advised that hormone replacement is recommended until at least the age of the natural menopause </w:t>
      </w:r>
      <w:r w:rsidR="003E7F77" w:rsidRPr="0093451B">
        <w:rPr>
          <w:rFonts w:asciiTheme="majorHAnsi" w:hAnsiTheme="majorHAnsi" w:cstheme="majorHAnsi"/>
        </w:rPr>
        <w:t>i.e.,</w:t>
      </w:r>
      <w:r w:rsidRPr="0093451B">
        <w:rPr>
          <w:rFonts w:asciiTheme="majorHAnsi" w:hAnsiTheme="majorHAnsi" w:cstheme="majorHAnsi"/>
        </w:rPr>
        <w:t xml:space="preserve"> 51 years. </w:t>
      </w:r>
      <w:r w:rsidR="00F25443" w:rsidRPr="0093451B">
        <w:rPr>
          <w:rFonts w:asciiTheme="majorHAnsi" w:hAnsiTheme="majorHAnsi" w:cstheme="majorHAnsi"/>
        </w:rPr>
        <w:t xml:space="preserve"> </w:t>
      </w:r>
      <w:r w:rsidR="00CF35D0" w:rsidRPr="0093451B">
        <w:rPr>
          <w:rFonts w:asciiTheme="majorHAnsi" w:hAnsiTheme="majorHAnsi" w:cstheme="majorHAnsi"/>
        </w:rPr>
        <w:t xml:space="preserve">HRT is useful for the treatment of the immediate symptoms of oestrogen deficiency as well as prevention of the </w:t>
      </w:r>
      <w:r w:rsidR="005403A4" w:rsidRPr="0093451B">
        <w:rPr>
          <w:rFonts w:asciiTheme="majorHAnsi" w:hAnsiTheme="majorHAnsi" w:cstheme="majorHAnsi"/>
        </w:rPr>
        <w:t xml:space="preserve">associated </w:t>
      </w:r>
      <w:r w:rsidR="00CF35D0" w:rsidRPr="0093451B">
        <w:rPr>
          <w:rFonts w:asciiTheme="majorHAnsi" w:hAnsiTheme="majorHAnsi" w:cstheme="majorHAnsi"/>
        </w:rPr>
        <w:t xml:space="preserve">long-term sequelae.  </w:t>
      </w:r>
    </w:p>
    <w:p w14:paraId="0EADAFB5" w14:textId="77777777" w:rsidR="00CF35D0" w:rsidRPr="0093451B" w:rsidRDefault="00CF35D0" w:rsidP="00F25443">
      <w:pPr>
        <w:widowControl w:val="0"/>
        <w:autoSpaceDE w:val="0"/>
        <w:autoSpaceDN w:val="0"/>
        <w:adjustRightInd w:val="0"/>
        <w:jc w:val="both"/>
        <w:rPr>
          <w:rFonts w:asciiTheme="majorHAnsi" w:hAnsiTheme="majorHAnsi" w:cstheme="majorHAnsi"/>
        </w:rPr>
      </w:pPr>
    </w:p>
    <w:p w14:paraId="7EC67A78" w14:textId="564D9450" w:rsidR="00F25443" w:rsidRPr="0093451B" w:rsidRDefault="00F25443" w:rsidP="00F25443">
      <w:pPr>
        <w:widowControl w:val="0"/>
        <w:autoSpaceDE w:val="0"/>
        <w:autoSpaceDN w:val="0"/>
        <w:adjustRightInd w:val="0"/>
        <w:jc w:val="both"/>
        <w:rPr>
          <w:rFonts w:asciiTheme="majorHAnsi" w:hAnsiTheme="majorHAnsi" w:cstheme="majorHAnsi"/>
        </w:rPr>
      </w:pPr>
      <w:r w:rsidRPr="0093451B">
        <w:rPr>
          <w:rFonts w:asciiTheme="majorHAnsi" w:hAnsiTheme="majorHAnsi" w:cstheme="majorHAnsi"/>
        </w:rPr>
        <w:t>There are minimal risks associated with HRT in women w</w:t>
      </w:r>
      <w:r w:rsidR="00372852" w:rsidRPr="0093451B">
        <w:rPr>
          <w:rFonts w:asciiTheme="majorHAnsi" w:hAnsiTheme="majorHAnsi" w:cstheme="majorHAnsi"/>
        </w:rPr>
        <w:t>ith POI</w:t>
      </w:r>
      <w:r w:rsidRPr="0093451B">
        <w:rPr>
          <w:rFonts w:asciiTheme="majorHAnsi" w:hAnsiTheme="majorHAnsi" w:cstheme="majorHAnsi"/>
        </w:rPr>
        <w:t xml:space="preserve"> and very few absolute</w:t>
      </w:r>
      <w:r w:rsidR="00754279" w:rsidRPr="0093451B">
        <w:rPr>
          <w:rFonts w:asciiTheme="majorHAnsi" w:hAnsiTheme="majorHAnsi" w:cstheme="majorHAnsi"/>
        </w:rPr>
        <w:t xml:space="preserve"> contraindications to its us</w:t>
      </w:r>
      <w:r w:rsidR="00582E2E" w:rsidRPr="0093451B">
        <w:rPr>
          <w:rFonts w:asciiTheme="majorHAnsi" w:hAnsiTheme="majorHAnsi" w:cstheme="majorHAnsi"/>
        </w:rPr>
        <w:t>e</w:t>
      </w:r>
      <w:r w:rsidR="00754279" w:rsidRPr="0093451B">
        <w:rPr>
          <w:rFonts w:asciiTheme="majorHAnsi" w:hAnsiTheme="majorHAnsi" w:cstheme="majorHAnsi"/>
        </w:rPr>
        <w:t xml:space="preserve">.  Transdermal preparations are generally associated with better symptom control and fewer risks </w:t>
      </w:r>
      <w:r w:rsidR="003E7F77" w:rsidRPr="0093451B">
        <w:rPr>
          <w:rFonts w:asciiTheme="majorHAnsi" w:hAnsiTheme="majorHAnsi" w:cstheme="majorHAnsi"/>
        </w:rPr>
        <w:t>or side</w:t>
      </w:r>
      <w:r w:rsidR="00754279" w:rsidRPr="0093451B">
        <w:rPr>
          <w:rFonts w:asciiTheme="majorHAnsi" w:hAnsiTheme="majorHAnsi" w:cstheme="majorHAnsi"/>
        </w:rPr>
        <w:t xml:space="preserve"> effects than oral HRT.  </w:t>
      </w:r>
    </w:p>
    <w:p w14:paraId="712269AF" w14:textId="5451BA70" w:rsidR="00372852" w:rsidRPr="0093451B" w:rsidRDefault="00372852" w:rsidP="00F25443">
      <w:pPr>
        <w:widowControl w:val="0"/>
        <w:autoSpaceDE w:val="0"/>
        <w:autoSpaceDN w:val="0"/>
        <w:adjustRightInd w:val="0"/>
        <w:jc w:val="both"/>
        <w:rPr>
          <w:rFonts w:asciiTheme="majorHAnsi" w:hAnsiTheme="majorHAnsi" w:cstheme="majorHAnsi"/>
        </w:rPr>
      </w:pPr>
    </w:p>
    <w:p w14:paraId="5E6A4FCD" w14:textId="54157D23" w:rsidR="00372852" w:rsidRPr="0093451B" w:rsidRDefault="00372852" w:rsidP="00F25443">
      <w:pPr>
        <w:widowControl w:val="0"/>
        <w:autoSpaceDE w:val="0"/>
        <w:autoSpaceDN w:val="0"/>
        <w:adjustRightInd w:val="0"/>
        <w:jc w:val="both"/>
        <w:rPr>
          <w:rFonts w:asciiTheme="majorHAnsi" w:hAnsiTheme="majorHAnsi" w:cstheme="majorHAnsi"/>
        </w:rPr>
      </w:pPr>
      <w:r w:rsidRPr="0093451B">
        <w:rPr>
          <w:rFonts w:asciiTheme="majorHAnsi" w:hAnsiTheme="majorHAnsi" w:cstheme="majorHAnsi"/>
        </w:rPr>
        <w:t xml:space="preserve">As with HRT in later life, the risk of VTE and stroke may be increased with the use of oral oestrogens. Transdermal oestrogens have a neutral effect on the risk of VTE and </w:t>
      </w:r>
      <w:r w:rsidR="003E7F77" w:rsidRPr="0093451B">
        <w:rPr>
          <w:rFonts w:asciiTheme="majorHAnsi" w:hAnsiTheme="majorHAnsi" w:cstheme="majorHAnsi"/>
        </w:rPr>
        <w:t>stroke and</w:t>
      </w:r>
      <w:r w:rsidRPr="0093451B">
        <w:rPr>
          <w:rFonts w:asciiTheme="majorHAnsi" w:hAnsiTheme="majorHAnsi" w:cstheme="majorHAnsi"/>
        </w:rPr>
        <w:t xml:space="preserve"> are preferred.</w:t>
      </w:r>
    </w:p>
    <w:p w14:paraId="7D3B8211" w14:textId="77777777" w:rsidR="0017577B" w:rsidRPr="0093451B" w:rsidRDefault="0017577B" w:rsidP="00F25443">
      <w:pPr>
        <w:widowControl w:val="0"/>
        <w:autoSpaceDE w:val="0"/>
        <w:autoSpaceDN w:val="0"/>
        <w:adjustRightInd w:val="0"/>
        <w:jc w:val="both"/>
        <w:rPr>
          <w:rFonts w:asciiTheme="majorHAnsi" w:hAnsiTheme="majorHAnsi" w:cstheme="majorHAnsi"/>
        </w:rPr>
      </w:pPr>
    </w:p>
    <w:p w14:paraId="0C8960F5" w14:textId="6BCF7778" w:rsidR="0017577B" w:rsidRPr="0093451B" w:rsidRDefault="0017577B" w:rsidP="0017577B">
      <w:pPr>
        <w:widowControl w:val="0"/>
        <w:autoSpaceDE w:val="0"/>
        <w:autoSpaceDN w:val="0"/>
        <w:adjustRightInd w:val="0"/>
        <w:jc w:val="both"/>
        <w:rPr>
          <w:rFonts w:asciiTheme="majorHAnsi" w:hAnsiTheme="majorHAnsi" w:cstheme="majorHAnsi"/>
        </w:rPr>
      </w:pPr>
      <w:r w:rsidRPr="0093451B">
        <w:rPr>
          <w:rFonts w:asciiTheme="majorHAnsi" w:hAnsiTheme="majorHAnsi" w:cstheme="majorHAnsi"/>
        </w:rPr>
        <w:t xml:space="preserve">There is </w:t>
      </w:r>
      <w:r w:rsidR="00CF35D0" w:rsidRPr="0093451B">
        <w:rPr>
          <w:rFonts w:asciiTheme="majorHAnsi" w:hAnsiTheme="majorHAnsi" w:cstheme="majorHAnsi"/>
        </w:rPr>
        <w:t>no</w:t>
      </w:r>
      <w:r w:rsidRPr="0093451B">
        <w:rPr>
          <w:rFonts w:asciiTheme="majorHAnsi" w:hAnsiTheme="majorHAnsi" w:cstheme="majorHAnsi"/>
        </w:rPr>
        <w:t xml:space="preserve"> increased risk of breast cancer in women </w:t>
      </w:r>
      <w:r w:rsidR="00CF35D0" w:rsidRPr="0093451B">
        <w:rPr>
          <w:rFonts w:asciiTheme="majorHAnsi" w:hAnsiTheme="majorHAnsi" w:cstheme="majorHAnsi"/>
        </w:rPr>
        <w:t xml:space="preserve">with POI who take combined HRT prior to the age of the natural menopause (no matter how many years they take it for).  </w:t>
      </w:r>
      <w:r w:rsidR="00E84078" w:rsidRPr="0093451B">
        <w:rPr>
          <w:rFonts w:asciiTheme="majorHAnsi" w:hAnsiTheme="majorHAnsi" w:cstheme="majorHAnsi"/>
        </w:rPr>
        <w:t>If</w:t>
      </w:r>
      <w:r w:rsidR="00CF35D0" w:rsidRPr="0093451B">
        <w:rPr>
          <w:rFonts w:asciiTheme="majorHAnsi" w:hAnsiTheme="majorHAnsi" w:cstheme="majorHAnsi"/>
        </w:rPr>
        <w:t xml:space="preserve"> women choose to continue HRT</w:t>
      </w:r>
      <w:r w:rsidR="00E84078" w:rsidRPr="0093451B">
        <w:rPr>
          <w:rFonts w:asciiTheme="majorHAnsi" w:hAnsiTheme="majorHAnsi" w:cstheme="majorHAnsi"/>
        </w:rPr>
        <w:t xml:space="preserve"> beyond the age of 51</w:t>
      </w:r>
      <w:r w:rsidR="00CF35D0" w:rsidRPr="0093451B">
        <w:rPr>
          <w:rFonts w:asciiTheme="majorHAnsi" w:hAnsiTheme="majorHAnsi" w:cstheme="majorHAnsi"/>
        </w:rPr>
        <w:t>, there is a slight</w:t>
      </w:r>
      <w:r w:rsidR="00372852" w:rsidRPr="0093451B">
        <w:rPr>
          <w:rFonts w:asciiTheme="majorHAnsi" w:hAnsiTheme="majorHAnsi" w:cstheme="majorHAnsi"/>
        </w:rPr>
        <w:t>ly</w:t>
      </w:r>
      <w:r w:rsidR="00CF35D0" w:rsidRPr="0093451B">
        <w:rPr>
          <w:rFonts w:asciiTheme="majorHAnsi" w:hAnsiTheme="majorHAnsi" w:cstheme="majorHAnsi"/>
        </w:rPr>
        <w:t xml:space="preserve"> increase</w:t>
      </w:r>
      <w:r w:rsidR="00E84078" w:rsidRPr="0093451B">
        <w:rPr>
          <w:rFonts w:asciiTheme="majorHAnsi" w:hAnsiTheme="majorHAnsi" w:cstheme="majorHAnsi"/>
        </w:rPr>
        <w:t>d</w:t>
      </w:r>
      <w:r w:rsidR="00CF35D0" w:rsidRPr="0093451B">
        <w:rPr>
          <w:rFonts w:asciiTheme="majorHAnsi" w:hAnsiTheme="majorHAnsi" w:cstheme="majorHAnsi"/>
        </w:rPr>
        <w:t xml:space="preserve"> risk of breast cancer in women taking combined HRT</w:t>
      </w:r>
      <w:r w:rsidR="00C137E7" w:rsidRPr="0093451B">
        <w:rPr>
          <w:rFonts w:asciiTheme="majorHAnsi" w:hAnsiTheme="majorHAnsi" w:cstheme="majorHAnsi"/>
        </w:rPr>
        <w:t xml:space="preserve"> for more than 5 years</w:t>
      </w:r>
      <w:r w:rsidR="00CF35D0" w:rsidRPr="0093451B">
        <w:rPr>
          <w:rFonts w:asciiTheme="majorHAnsi" w:hAnsiTheme="majorHAnsi" w:cstheme="majorHAnsi"/>
        </w:rPr>
        <w:t xml:space="preserve">.  This risk </w:t>
      </w:r>
      <w:r w:rsidR="00091E1A" w:rsidRPr="0093451B">
        <w:rPr>
          <w:rFonts w:asciiTheme="majorHAnsi" w:hAnsiTheme="majorHAnsi" w:cstheme="majorHAnsi"/>
        </w:rPr>
        <w:t xml:space="preserve">is dose and duration dependant and </w:t>
      </w:r>
      <w:r w:rsidR="00CF35D0" w:rsidRPr="0093451B">
        <w:rPr>
          <w:rFonts w:asciiTheme="majorHAnsi" w:hAnsiTheme="majorHAnsi" w:cstheme="majorHAnsi"/>
        </w:rPr>
        <w:t xml:space="preserve">reduces after stopping treatment.  </w:t>
      </w:r>
    </w:p>
    <w:p w14:paraId="586B8E21" w14:textId="3B33DA7E" w:rsidR="00091E1A" w:rsidRDefault="00091E1A" w:rsidP="0067000D">
      <w:pPr>
        <w:widowControl w:val="0"/>
        <w:autoSpaceDE w:val="0"/>
        <w:autoSpaceDN w:val="0"/>
        <w:adjustRightInd w:val="0"/>
        <w:jc w:val="both"/>
        <w:rPr>
          <w:rFonts w:cs="Arial"/>
          <w:b/>
          <w:i/>
        </w:rPr>
      </w:pPr>
    </w:p>
    <w:p w14:paraId="4F51E79E" w14:textId="5AD96818" w:rsidR="00091E1A" w:rsidRPr="0093451B" w:rsidRDefault="00091E1A" w:rsidP="0067000D">
      <w:pPr>
        <w:widowControl w:val="0"/>
        <w:autoSpaceDE w:val="0"/>
        <w:autoSpaceDN w:val="0"/>
        <w:adjustRightInd w:val="0"/>
        <w:jc w:val="both"/>
        <w:rPr>
          <w:rFonts w:asciiTheme="majorHAnsi" w:hAnsiTheme="majorHAnsi" w:cstheme="majorHAnsi"/>
          <w:b/>
          <w:iCs/>
        </w:rPr>
      </w:pPr>
      <w:r w:rsidRPr="0093451B">
        <w:rPr>
          <w:rFonts w:asciiTheme="majorHAnsi" w:hAnsiTheme="majorHAnsi" w:cstheme="majorHAnsi"/>
          <w:b/>
          <w:iCs/>
        </w:rPr>
        <w:t>For guidance on prescribing HRT, refer to the LTHT guideline</w:t>
      </w:r>
      <w:hyperlink r:id="rId10" w:history="1">
        <w:r w:rsidRPr="0093451B">
          <w:rPr>
            <w:rStyle w:val="Hyperlink"/>
            <w:rFonts w:asciiTheme="majorHAnsi" w:hAnsiTheme="majorHAnsi" w:cstheme="majorHAnsi"/>
            <w:b/>
            <w:iCs/>
          </w:rPr>
          <w:t xml:space="preserve"> </w:t>
        </w:r>
        <w:r w:rsidR="002078B0" w:rsidRPr="0093451B">
          <w:rPr>
            <w:rStyle w:val="Hyperlink"/>
            <w:rFonts w:asciiTheme="majorHAnsi" w:hAnsiTheme="majorHAnsi" w:cstheme="majorHAnsi"/>
            <w:b/>
            <w:iCs/>
          </w:rPr>
          <w:t>‘Management of Menopause Transition and Hormone Replacement Therapy (HRT)’</w:t>
        </w:r>
      </w:hyperlink>
      <w:r w:rsidR="002078B0" w:rsidRPr="0093451B">
        <w:rPr>
          <w:rFonts w:asciiTheme="majorHAnsi" w:hAnsiTheme="majorHAnsi" w:cstheme="majorHAnsi"/>
          <w:b/>
          <w:iCs/>
        </w:rPr>
        <w:t>:</w:t>
      </w:r>
    </w:p>
    <w:p w14:paraId="74F0629E" w14:textId="2F97E773" w:rsidR="002078B0" w:rsidRPr="0093451B" w:rsidRDefault="002078B0" w:rsidP="0067000D">
      <w:pPr>
        <w:widowControl w:val="0"/>
        <w:autoSpaceDE w:val="0"/>
        <w:autoSpaceDN w:val="0"/>
        <w:adjustRightInd w:val="0"/>
        <w:jc w:val="both"/>
        <w:rPr>
          <w:rFonts w:asciiTheme="majorHAnsi" w:hAnsiTheme="majorHAnsi" w:cstheme="majorHAnsi"/>
          <w:bCs/>
          <w:iCs/>
        </w:rPr>
      </w:pPr>
      <w:r w:rsidRPr="0093451B">
        <w:rPr>
          <w:rFonts w:asciiTheme="majorHAnsi" w:hAnsiTheme="majorHAnsi" w:cstheme="majorHAnsi"/>
          <w:bCs/>
          <w:iCs/>
        </w:rPr>
        <w:t>https://nww.lhp.leedsth.nhs.uk/common/guidelines/detail.aspx?ID=4117</w:t>
      </w:r>
    </w:p>
    <w:p w14:paraId="7465F114" w14:textId="77777777" w:rsidR="00F25443" w:rsidRPr="0093451B" w:rsidRDefault="00F25443" w:rsidP="0067000D">
      <w:pPr>
        <w:widowControl w:val="0"/>
        <w:autoSpaceDE w:val="0"/>
        <w:autoSpaceDN w:val="0"/>
        <w:adjustRightInd w:val="0"/>
        <w:jc w:val="both"/>
        <w:rPr>
          <w:rFonts w:asciiTheme="majorHAnsi" w:hAnsiTheme="majorHAnsi" w:cstheme="majorHAnsi"/>
          <w:b/>
          <w:i/>
        </w:rPr>
      </w:pPr>
    </w:p>
    <w:p w14:paraId="434745CB" w14:textId="63C466F8" w:rsidR="00F25443" w:rsidRPr="0093451B" w:rsidRDefault="00F25443" w:rsidP="00F25443">
      <w:pPr>
        <w:widowControl w:val="0"/>
        <w:autoSpaceDE w:val="0"/>
        <w:autoSpaceDN w:val="0"/>
        <w:adjustRightInd w:val="0"/>
        <w:jc w:val="both"/>
        <w:rPr>
          <w:rFonts w:asciiTheme="majorHAnsi" w:hAnsiTheme="majorHAnsi" w:cstheme="majorHAnsi"/>
        </w:rPr>
      </w:pPr>
      <w:r w:rsidRPr="0093451B">
        <w:rPr>
          <w:rFonts w:asciiTheme="majorHAnsi" w:hAnsiTheme="majorHAnsi" w:cstheme="majorHAnsi"/>
        </w:rPr>
        <w:t xml:space="preserve">Hormone replacement </w:t>
      </w:r>
      <w:r w:rsidR="00481AF9" w:rsidRPr="0093451B">
        <w:rPr>
          <w:rFonts w:asciiTheme="majorHAnsi" w:hAnsiTheme="majorHAnsi" w:cstheme="majorHAnsi"/>
        </w:rPr>
        <w:t xml:space="preserve">in women with POI </w:t>
      </w:r>
      <w:r w:rsidRPr="0093451B">
        <w:rPr>
          <w:rFonts w:asciiTheme="majorHAnsi" w:hAnsiTheme="majorHAnsi" w:cstheme="majorHAnsi"/>
        </w:rPr>
        <w:t xml:space="preserve">may be with traditional HRT or </w:t>
      </w:r>
      <w:r w:rsidR="002078B0" w:rsidRPr="0093451B">
        <w:rPr>
          <w:rFonts w:asciiTheme="majorHAnsi" w:hAnsiTheme="majorHAnsi" w:cstheme="majorHAnsi"/>
        </w:rPr>
        <w:t xml:space="preserve">if appropriate, </w:t>
      </w:r>
      <w:r w:rsidRPr="0093451B">
        <w:rPr>
          <w:rFonts w:asciiTheme="majorHAnsi" w:hAnsiTheme="majorHAnsi" w:cstheme="majorHAnsi"/>
        </w:rPr>
        <w:t xml:space="preserve">a COCP containing </w:t>
      </w:r>
      <w:r w:rsidR="0004274F" w:rsidRPr="0093451B">
        <w:rPr>
          <w:rFonts w:asciiTheme="majorHAnsi" w:hAnsiTheme="majorHAnsi" w:cstheme="majorHAnsi"/>
        </w:rPr>
        <w:t>17</w:t>
      </w:r>
      <w:r w:rsidR="0004274F" w:rsidRPr="0093451B">
        <w:rPr>
          <w:rFonts w:asciiTheme="majorHAnsi" w:hAnsiTheme="majorHAnsi" w:cstheme="majorHAnsi"/>
        </w:rPr>
        <w:sym w:font="Symbol" w:char="F062"/>
      </w:r>
      <w:r w:rsidR="0004274F" w:rsidRPr="0093451B">
        <w:rPr>
          <w:rFonts w:asciiTheme="majorHAnsi" w:hAnsiTheme="majorHAnsi" w:cstheme="majorHAnsi"/>
        </w:rPr>
        <w:t>-</w:t>
      </w:r>
      <w:proofErr w:type="spellStart"/>
      <w:r w:rsidR="0004274F" w:rsidRPr="0093451B">
        <w:rPr>
          <w:rFonts w:asciiTheme="majorHAnsi" w:hAnsiTheme="majorHAnsi" w:cstheme="majorHAnsi"/>
        </w:rPr>
        <w:t>estradiol</w:t>
      </w:r>
      <w:proofErr w:type="spellEnd"/>
      <w:r w:rsidRPr="0093451B">
        <w:rPr>
          <w:rFonts w:asciiTheme="majorHAnsi" w:hAnsiTheme="majorHAnsi" w:cstheme="majorHAnsi"/>
        </w:rPr>
        <w:t xml:space="preserve">.  </w:t>
      </w:r>
      <w:r w:rsidR="002078B0" w:rsidRPr="0093451B">
        <w:rPr>
          <w:rFonts w:asciiTheme="majorHAnsi" w:hAnsiTheme="majorHAnsi" w:cstheme="majorHAnsi"/>
        </w:rPr>
        <w:t>The</w:t>
      </w:r>
      <w:r w:rsidRPr="0093451B">
        <w:rPr>
          <w:rFonts w:asciiTheme="majorHAnsi" w:hAnsiTheme="majorHAnsi" w:cstheme="majorHAnsi"/>
        </w:rPr>
        <w:t xml:space="preserve"> COCP may be less beneficial </w:t>
      </w:r>
      <w:r w:rsidR="002078B0" w:rsidRPr="0093451B">
        <w:rPr>
          <w:rFonts w:asciiTheme="majorHAnsi" w:hAnsiTheme="majorHAnsi" w:cstheme="majorHAnsi"/>
        </w:rPr>
        <w:t xml:space="preserve">to maintaining </w:t>
      </w:r>
      <w:r w:rsidRPr="0093451B">
        <w:rPr>
          <w:rFonts w:asciiTheme="majorHAnsi" w:hAnsiTheme="majorHAnsi" w:cstheme="majorHAnsi"/>
        </w:rPr>
        <w:t>bone</w:t>
      </w:r>
      <w:r w:rsidR="002078B0" w:rsidRPr="0093451B">
        <w:rPr>
          <w:rFonts w:asciiTheme="majorHAnsi" w:hAnsiTheme="majorHAnsi" w:cstheme="majorHAnsi"/>
        </w:rPr>
        <w:t xml:space="preserve"> and cardiovascular</w:t>
      </w:r>
      <w:r w:rsidRPr="0093451B">
        <w:rPr>
          <w:rFonts w:asciiTheme="majorHAnsi" w:hAnsiTheme="majorHAnsi" w:cstheme="majorHAnsi"/>
        </w:rPr>
        <w:t xml:space="preserve"> health </w:t>
      </w:r>
      <w:r w:rsidR="00481AF9" w:rsidRPr="0093451B">
        <w:rPr>
          <w:rFonts w:asciiTheme="majorHAnsi" w:hAnsiTheme="majorHAnsi" w:cstheme="majorHAnsi"/>
        </w:rPr>
        <w:t xml:space="preserve">than traditional </w:t>
      </w:r>
      <w:r w:rsidR="003E7F77" w:rsidRPr="0093451B">
        <w:rPr>
          <w:rFonts w:asciiTheme="majorHAnsi" w:hAnsiTheme="majorHAnsi" w:cstheme="majorHAnsi"/>
        </w:rPr>
        <w:t>HRT,</w:t>
      </w:r>
      <w:r w:rsidR="00481AF9" w:rsidRPr="0093451B">
        <w:rPr>
          <w:rFonts w:asciiTheme="majorHAnsi" w:hAnsiTheme="majorHAnsi" w:cstheme="majorHAnsi"/>
        </w:rPr>
        <w:t xml:space="preserve"> but it </w:t>
      </w:r>
      <w:r w:rsidRPr="0093451B">
        <w:rPr>
          <w:rFonts w:asciiTheme="majorHAnsi" w:hAnsiTheme="majorHAnsi" w:cstheme="majorHAnsi"/>
        </w:rPr>
        <w:t xml:space="preserve">is exempt from NHS prescription charges and may be </w:t>
      </w:r>
      <w:r w:rsidR="00042016" w:rsidRPr="0093451B">
        <w:rPr>
          <w:rFonts w:asciiTheme="majorHAnsi" w:hAnsiTheme="majorHAnsi" w:cstheme="majorHAnsi"/>
        </w:rPr>
        <w:t>less stigmatising for</w:t>
      </w:r>
      <w:r w:rsidRPr="0093451B">
        <w:rPr>
          <w:rFonts w:asciiTheme="majorHAnsi" w:hAnsiTheme="majorHAnsi" w:cstheme="majorHAnsi"/>
        </w:rPr>
        <w:t xml:space="preserve"> some women </w:t>
      </w:r>
      <w:r w:rsidR="002078B0" w:rsidRPr="0093451B">
        <w:rPr>
          <w:rFonts w:asciiTheme="majorHAnsi" w:hAnsiTheme="majorHAnsi" w:cstheme="majorHAnsi"/>
        </w:rPr>
        <w:t xml:space="preserve">compared with </w:t>
      </w:r>
      <w:r w:rsidRPr="0093451B">
        <w:rPr>
          <w:rFonts w:asciiTheme="majorHAnsi" w:hAnsiTheme="majorHAnsi" w:cstheme="majorHAnsi"/>
        </w:rPr>
        <w:t xml:space="preserve">HRT.  </w:t>
      </w:r>
      <w:r w:rsidR="0004274F" w:rsidRPr="0093451B">
        <w:rPr>
          <w:rFonts w:asciiTheme="majorHAnsi" w:hAnsiTheme="majorHAnsi" w:cstheme="majorHAnsi"/>
        </w:rPr>
        <w:t>The COCP may also be more acceptable and lead to greater compliance with treatment.</w:t>
      </w:r>
    </w:p>
    <w:p w14:paraId="7BA5257B" w14:textId="77777777" w:rsidR="005403A4" w:rsidRPr="0093451B" w:rsidRDefault="005403A4" w:rsidP="001533FF">
      <w:pPr>
        <w:jc w:val="both"/>
        <w:rPr>
          <w:rFonts w:asciiTheme="majorHAnsi" w:hAnsiTheme="majorHAnsi" w:cstheme="majorHAnsi"/>
          <w:lang w:val="fr-FR"/>
        </w:rPr>
      </w:pPr>
    </w:p>
    <w:p w14:paraId="50FD4A85" w14:textId="77777777" w:rsidR="00372852" w:rsidRPr="0093451B" w:rsidRDefault="005403A4" w:rsidP="0067000D">
      <w:pPr>
        <w:widowControl w:val="0"/>
        <w:autoSpaceDE w:val="0"/>
        <w:autoSpaceDN w:val="0"/>
        <w:adjustRightInd w:val="0"/>
        <w:jc w:val="both"/>
        <w:rPr>
          <w:rFonts w:asciiTheme="majorHAnsi" w:hAnsiTheme="majorHAnsi" w:cstheme="majorHAnsi"/>
        </w:rPr>
      </w:pPr>
      <w:r w:rsidRPr="0093451B">
        <w:rPr>
          <w:rFonts w:asciiTheme="majorHAnsi" w:hAnsiTheme="majorHAnsi" w:cstheme="majorHAnsi"/>
        </w:rPr>
        <w:t>If there are any concerns regarding the suitability of the COCP for a particular patient, the UK Medical Eligibility Criteria for contraceptive use can be accessed here:</w:t>
      </w:r>
    </w:p>
    <w:p w14:paraId="0BFDA5B8" w14:textId="55A0F852" w:rsidR="002078B0" w:rsidRPr="0093451B" w:rsidRDefault="00000000" w:rsidP="0067000D">
      <w:pPr>
        <w:widowControl w:val="0"/>
        <w:autoSpaceDE w:val="0"/>
        <w:autoSpaceDN w:val="0"/>
        <w:adjustRightInd w:val="0"/>
        <w:jc w:val="both"/>
        <w:rPr>
          <w:rFonts w:asciiTheme="majorHAnsi" w:hAnsiTheme="majorHAnsi" w:cstheme="majorHAnsi"/>
        </w:rPr>
      </w:pPr>
      <w:hyperlink r:id="rId11" w:history="1">
        <w:r w:rsidR="002078B0" w:rsidRPr="0093451B">
          <w:rPr>
            <w:rStyle w:val="Hyperlink"/>
            <w:rFonts w:asciiTheme="majorHAnsi" w:hAnsiTheme="majorHAnsi" w:cstheme="majorHAnsi"/>
          </w:rPr>
          <w:t>https://www.fsrh.org/standards-and-guidance/uk-medical-eligibility-criteria-for-contraceptive-use-ukmec/</w:t>
        </w:r>
      </w:hyperlink>
    </w:p>
    <w:p w14:paraId="752602A3" w14:textId="77777777" w:rsidR="005403A4" w:rsidRPr="0093451B" w:rsidRDefault="005403A4" w:rsidP="0067000D">
      <w:pPr>
        <w:widowControl w:val="0"/>
        <w:autoSpaceDE w:val="0"/>
        <w:autoSpaceDN w:val="0"/>
        <w:adjustRightInd w:val="0"/>
        <w:jc w:val="both"/>
        <w:rPr>
          <w:rFonts w:asciiTheme="majorHAnsi" w:hAnsiTheme="majorHAnsi" w:cstheme="majorHAnsi"/>
        </w:rPr>
      </w:pPr>
    </w:p>
    <w:p w14:paraId="40E42AFC" w14:textId="631D2276" w:rsidR="004E2D8B" w:rsidRPr="0093451B" w:rsidRDefault="005676E4" w:rsidP="0067000D">
      <w:pPr>
        <w:widowControl w:val="0"/>
        <w:autoSpaceDE w:val="0"/>
        <w:autoSpaceDN w:val="0"/>
        <w:adjustRightInd w:val="0"/>
        <w:jc w:val="both"/>
        <w:rPr>
          <w:rFonts w:asciiTheme="majorHAnsi" w:hAnsiTheme="majorHAnsi" w:cstheme="majorHAnsi"/>
        </w:rPr>
      </w:pPr>
      <w:r w:rsidRPr="0093451B">
        <w:rPr>
          <w:rFonts w:asciiTheme="majorHAnsi" w:hAnsiTheme="majorHAnsi" w:cstheme="majorHAnsi"/>
        </w:rPr>
        <w:t>Women with POI who have had a period within the last 12 months or who desire a pre</w:t>
      </w:r>
      <w:r w:rsidR="004E2D8B" w:rsidRPr="0093451B">
        <w:rPr>
          <w:rFonts w:asciiTheme="majorHAnsi" w:hAnsiTheme="majorHAnsi" w:cstheme="majorHAnsi"/>
        </w:rPr>
        <w:t xml:space="preserve">gnancy should be commenced on </w:t>
      </w:r>
      <w:r w:rsidRPr="0093451B">
        <w:rPr>
          <w:rFonts w:asciiTheme="majorHAnsi" w:hAnsiTheme="majorHAnsi" w:cstheme="majorHAnsi"/>
        </w:rPr>
        <w:t>cyclical HRT</w:t>
      </w:r>
      <w:r w:rsidR="00675618" w:rsidRPr="0093451B">
        <w:rPr>
          <w:rFonts w:asciiTheme="majorHAnsi" w:hAnsiTheme="majorHAnsi" w:cstheme="majorHAnsi"/>
        </w:rPr>
        <w:t xml:space="preserve"> where a progestogen is given for </w:t>
      </w:r>
      <w:r w:rsidR="0004274F" w:rsidRPr="0093451B">
        <w:rPr>
          <w:rFonts w:asciiTheme="majorHAnsi" w:hAnsiTheme="majorHAnsi" w:cstheme="majorHAnsi"/>
        </w:rPr>
        <w:t>the first 12 days</w:t>
      </w:r>
      <w:r w:rsidR="00675618" w:rsidRPr="0093451B">
        <w:rPr>
          <w:rFonts w:asciiTheme="majorHAnsi" w:hAnsiTheme="majorHAnsi" w:cstheme="majorHAnsi"/>
        </w:rPr>
        <w:t xml:space="preserve"> </w:t>
      </w:r>
      <w:r w:rsidR="0004274F" w:rsidRPr="0093451B">
        <w:rPr>
          <w:rFonts w:asciiTheme="majorHAnsi" w:hAnsiTheme="majorHAnsi" w:cstheme="majorHAnsi"/>
        </w:rPr>
        <w:t>of each calendar month</w:t>
      </w:r>
      <w:r w:rsidRPr="0093451B">
        <w:rPr>
          <w:rFonts w:asciiTheme="majorHAnsi" w:hAnsiTheme="majorHAnsi" w:cstheme="majorHAnsi"/>
        </w:rPr>
        <w:t>.</w:t>
      </w:r>
      <w:r w:rsidR="0004274F" w:rsidRPr="0093451B">
        <w:rPr>
          <w:rFonts w:asciiTheme="majorHAnsi" w:hAnsiTheme="majorHAnsi" w:cstheme="majorHAnsi"/>
        </w:rPr>
        <w:t xml:space="preserve"> </w:t>
      </w:r>
      <w:r w:rsidR="004E2D8B" w:rsidRPr="0093451B">
        <w:rPr>
          <w:rFonts w:asciiTheme="majorHAnsi" w:hAnsiTheme="majorHAnsi" w:cstheme="majorHAnsi"/>
        </w:rPr>
        <w:t>These women will have a monthly withdrawal bleed.</w:t>
      </w:r>
    </w:p>
    <w:p w14:paraId="607BFE34" w14:textId="77777777" w:rsidR="004E2D8B" w:rsidRPr="0093451B" w:rsidRDefault="004E2D8B" w:rsidP="0067000D">
      <w:pPr>
        <w:widowControl w:val="0"/>
        <w:autoSpaceDE w:val="0"/>
        <w:autoSpaceDN w:val="0"/>
        <w:adjustRightInd w:val="0"/>
        <w:jc w:val="both"/>
        <w:rPr>
          <w:rFonts w:asciiTheme="majorHAnsi" w:hAnsiTheme="majorHAnsi" w:cstheme="majorHAnsi"/>
        </w:rPr>
      </w:pPr>
    </w:p>
    <w:p w14:paraId="0D344DAE" w14:textId="3AEE0605" w:rsidR="0067000D" w:rsidRPr="0093451B" w:rsidRDefault="0067000D" w:rsidP="0067000D">
      <w:pPr>
        <w:widowControl w:val="0"/>
        <w:autoSpaceDE w:val="0"/>
        <w:autoSpaceDN w:val="0"/>
        <w:adjustRightInd w:val="0"/>
        <w:jc w:val="both"/>
        <w:rPr>
          <w:rFonts w:asciiTheme="majorHAnsi" w:hAnsiTheme="majorHAnsi" w:cstheme="majorHAnsi"/>
        </w:rPr>
      </w:pPr>
      <w:r w:rsidRPr="0093451B">
        <w:rPr>
          <w:rFonts w:asciiTheme="majorHAnsi" w:hAnsiTheme="majorHAnsi" w:cstheme="majorHAnsi"/>
        </w:rPr>
        <w:t xml:space="preserve">Women with POI who have been amenorrhoeic for more than 12 months </w:t>
      </w:r>
      <w:r w:rsidR="0083003D" w:rsidRPr="0093451B">
        <w:rPr>
          <w:rFonts w:asciiTheme="majorHAnsi" w:hAnsiTheme="majorHAnsi" w:cstheme="majorHAnsi"/>
        </w:rPr>
        <w:t>who do not desire a pregnancy</w:t>
      </w:r>
      <w:r w:rsidR="0004274F" w:rsidRPr="0093451B">
        <w:rPr>
          <w:rFonts w:asciiTheme="majorHAnsi" w:hAnsiTheme="majorHAnsi" w:cstheme="majorHAnsi"/>
        </w:rPr>
        <w:t xml:space="preserve"> </w:t>
      </w:r>
      <w:r w:rsidR="0083003D" w:rsidRPr="0093451B">
        <w:rPr>
          <w:rFonts w:asciiTheme="majorHAnsi" w:hAnsiTheme="majorHAnsi" w:cstheme="majorHAnsi"/>
        </w:rPr>
        <w:t>can be commenced on a continuous combined (no bleed) HRT</w:t>
      </w:r>
      <w:r w:rsidR="0004274F" w:rsidRPr="0093451B">
        <w:rPr>
          <w:rFonts w:asciiTheme="majorHAnsi" w:hAnsiTheme="majorHAnsi" w:cstheme="majorHAnsi"/>
        </w:rPr>
        <w:t xml:space="preserve"> regime</w:t>
      </w:r>
      <w:r w:rsidR="0083003D" w:rsidRPr="0093451B">
        <w:rPr>
          <w:rFonts w:asciiTheme="majorHAnsi" w:hAnsiTheme="majorHAnsi" w:cstheme="majorHAnsi"/>
        </w:rPr>
        <w:t xml:space="preserve">.  </w:t>
      </w:r>
    </w:p>
    <w:p w14:paraId="5E12DBCF" w14:textId="77777777" w:rsidR="002611CD" w:rsidRPr="0093451B" w:rsidRDefault="002611CD" w:rsidP="0067000D">
      <w:pPr>
        <w:widowControl w:val="0"/>
        <w:autoSpaceDE w:val="0"/>
        <w:autoSpaceDN w:val="0"/>
        <w:adjustRightInd w:val="0"/>
        <w:jc w:val="both"/>
        <w:rPr>
          <w:rFonts w:asciiTheme="majorHAnsi" w:hAnsiTheme="majorHAnsi" w:cstheme="majorHAnsi"/>
        </w:rPr>
      </w:pPr>
    </w:p>
    <w:p w14:paraId="1BF9AFF5" w14:textId="77777777" w:rsidR="006A4D83" w:rsidRDefault="006A4D83" w:rsidP="00AD620B">
      <w:pPr>
        <w:jc w:val="both"/>
      </w:pPr>
    </w:p>
    <w:p w14:paraId="54DFFB61" w14:textId="5E55F405" w:rsidR="001500EC" w:rsidRPr="0093451B" w:rsidRDefault="00EE421D" w:rsidP="001533FF">
      <w:pPr>
        <w:pStyle w:val="Heading3"/>
        <w:numPr>
          <w:ilvl w:val="0"/>
          <w:numId w:val="16"/>
        </w:numPr>
        <w:rPr>
          <w:sz w:val="28"/>
          <w:szCs w:val="28"/>
        </w:rPr>
      </w:pPr>
      <w:r w:rsidRPr="0093451B">
        <w:rPr>
          <w:sz w:val="28"/>
          <w:szCs w:val="28"/>
        </w:rPr>
        <w:t>Fertility</w:t>
      </w:r>
      <w:r w:rsidR="001533FF" w:rsidRPr="0093451B">
        <w:rPr>
          <w:sz w:val="28"/>
          <w:szCs w:val="28"/>
        </w:rPr>
        <w:t xml:space="preserve"> and contraception</w:t>
      </w:r>
    </w:p>
    <w:p w14:paraId="305141A1" w14:textId="77777777" w:rsidR="00FA54AB" w:rsidRDefault="00FA54AB" w:rsidP="00FA54AB">
      <w:pPr>
        <w:jc w:val="both"/>
      </w:pPr>
    </w:p>
    <w:p w14:paraId="02C7C047" w14:textId="1D3A5655" w:rsidR="003D12E6" w:rsidRPr="0093451B" w:rsidRDefault="003D12E6" w:rsidP="00185B4E">
      <w:pPr>
        <w:jc w:val="both"/>
        <w:rPr>
          <w:rFonts w:asciiTheme="majorHAnsi" w:hAnsiTheme="majorHAnsi" w:cstheme="majorHAnsi"/>
        </w:rPr>
      </w:pPr>
      <w:r w:rsidRPr="0093451B">
        <w:rPr>
          <w:rFonts w:asciiTheme="majorHAnsi" w:hAnsiTheme="majorHAnsi" w:cstheme="majorHAnsi"/>
        </w:rPr>
        <w:t>Women with POI should be informed that there is still a small chance of a spontaneous pregnancy. Th</w:t>
      </w:r>
      <w:r w:rsidR="00E84078" w:rsidRPr="0093451B">
        <w:rPr>
          <w:rFonts w:asciiTheme="majorHAnsi" w:hAnsiTheme="majorHAnsi" w:cstheme="majorHAnsi"/>
        </w:rPr>
        <w:t xml:space="preserve">is risk </w:t>
      </w:r>
      <w:r w:rsidRPr="0093451B">
        <w:rPr>
          <w:rFonts w:asciiTheme="majorHAnsi" w:hAnsiTheme="majorHAnsi" w:cstheme="majorHAnsi"/>
        </w:rPr>
        <w:t>is up to 5%, and those wishing to avoid pregnancy should be advised to use contraception.</w:t>
      </w:r>
    </w:p>
    <w:p w14:paraId="09054F60" w14:textId="0C73C4FD" w:rsidR="00E84078" w:rsidRPr="0093451B" w:rsidRDefault="00E84078" w:rsidP="00185B4E">
      <w:pPr>
        <w:jc w:val="both"/>
        <w:rPr>
          <w:rFonts w:asciiTheme="majorHAnsi" w:hAnsiTheme="majorHAnsi" w:cstheme="majorHAnsi"/>
        </w:rPr>
      </w:pPr>
    </w:p>
    <w:p w14:paraId="5058D415" w14:textId="7406DECA" w:rsidR="00E84078" w:rsidRPr="0093451B" w:rsidRDefault="00E84078" w:rsidP="00185B4E">
      <w:pPr>
        <w:jc w:val="both"/>
        <w:rPr>
          <w:rFonts w:asciiTheme="majorHAnsi" w:hAnsiTheme="majorHAnsi" w:cstheme="majorHAnsi"/>
        </w:rPr>
      </w:pPr>
      <w:r w:rsidRPr="0093451B">
        <w:rPr>
          <w:rFonts w:asciiTheme="majorHAnsi" w:hAnsiTheme="majorHAnsi" w:cstheme="majorHAnsi"/>
        </w:rPr>
        <w:lastRenderedPageBreak/>
        <w:t xml:space="preserve">Since HRT is not contraceptive, all women with POI who do not wish to conceive and who have not been sterilised, may benefit from using either a Mirena coil as the progestogenic component of their HRT or a </w:t>
      </w:r>
      <w:r w:rsidR="001838F5" w:rsidRPr="0093451B">
        <w:rPr>
          <w:rFonts w:asciiTheme="majorHAnsi" w:hAnsiTheme="majorHAnsi" w:cstheme="majorHAnsi"/>
        </w:rPr>
        <w:t>COCP (</w:t>
      </w:r>
      <w:r w:rsidRPr="0093451B">
        <w:rPr>
          <w:rFonts w:asciiTheme="majorHAnsi" w:hAnsiTheme="majorHAnsi" w:cstheme="majorHAnsi"/>
        </w:rPr>
        <w:t xml:space="preserve">see above).   </w:t>
      </w:r>
    </w:p>
    <w:p w14:paraId="4FAF8ED3" w14:textId="77777777" w:rsidR="00E84078" w:rsidRPr="0093451B" w:rsidRDefault="00E84078" w:rsidP="00185B4E">
      <w:pPr>
        <w:jc w:val="both"/>
        <w:rPr>
          <w:rFonts w:asciiTheme="majorHAnsi" w:hAnsiTheme="majorHAnsi" w:cstheme="majorHAnsi"/>
        </w:rPr>
      </w:pPr>
    </w:p>
    <w:p w14:paraId="0D7E670D" w14:textId="3CAC6BE5" w:rsidR="00E84078" w:rsidRPr="0093451B" w:rsidRDefault="00E84078" w:rsidP="00E84078">
      <w:pPr>
        <w:jc w:val="both"/>
        <w:rPr>
          <w:rFonts w:asciiTheme="majorHAnsi" w:hAnsiTheme="majorHAnsi" w:cstheme="majorHAnsi"/>
        </w:rPr>
      </w:pPr>
      <w:r w:rsidRPr="0093451B">
        <w:rPr>
          <w:rFonts w:asciiTheme="majorHAnsi" w:hAnsiTheme="majorHAnsi" w:cstheme="majorHAnsi"/>
        </w:rPr>
        <w:t xml:space="preserve">It is recommended that contraception be continued for 2 years after the last menstrual period in women that go through the menopause before the age of 50.   </w:t>
      </w:r>
    </w:p>
    <w:p w14:paraId="3DB40982" w14:textId="2212F235" w:rsidR="00E84078" w:rsidRPr="0093451B" w:rsidRDefault="00E84078" w:rsidP="00E84078">
      <w:pPr>
        <w:jc w:val="both"/>
        <w:rPr>
          <w:rFonts w:asciiTheme="majorHAnsi" w:hAnsiTheme="majorHAnsi" w:cstheme="majorHAnsi"/>
        </w:rPr>
      </w:pPr>
    </w:p>
    <w:p w14:paraId="518EA417" w14:textId="1E957DFC" w:rsidR="00E84078" w:rsidRPr="0093451B" w:rsidRDefault="00E84078" w:rsidP="00E84078">
      <w:pPr>
        <w:jc w:val="both"/>
        <w:rPr>
          <w:rFonts w:asciiTheme="majorHAnsi" w:hAnsiTheme="majorHAnsi" w:cstheme="majorHAnsi"/>
        </w:rPr>
      </w:pPr>
      <w:r w:rsidRPr="0093451B">
        <w:rPr>
          <w:rFonts w:asciiTheme="majorHAnsi" w:hAnsiTheme="majorHAnsi" w:cstheme="majorHAnsi"/>
        </w:rPr>
        <w:t>Whilst there are no known treatments that reliably increase ovarian activity, ovulation or conceptio</w:t>
      </w:r>
      <w:r w:rsidR="001838F5">
        <w:rPr>
          <w:rFonts w:asciiTheme="majorHAnsi" w:hAnsiTheme="majorHAnsi" w:cstheme="majorHAnsi"/>
        </w:rPr>
        <w:t>n</w:t>
      </w:r>
      <w:r w:rsidRPr="0093451B">
        <w:rPr>
          <w:rFonts w:asciiTheme="majorHAnsi" w:hAnsiTheme="majorHAnsi" w:cstheme="majorHAnsi"/>
        </w:rPr>
        <w:t xml:space="preserve">, and the opportunity for fertility preservation has passed once a diagnosis of POI has been established, IVF with oocyte donation is an established option for fertility. If a pregnancy is desired, a cyclical HRT preparation is preferable (see above).  </w:t>
      </w:r>
    </w:p>
    <w:p w14:paraId="4BE29373" w14:textId="0674FA13" w:rsidR="00E84078" w:rsidRPr="0093451B" w:rsidRDefault="00E84078" w:rsidP="00E84078">
      <w:pPr>
        <w:jc w:val="both"/>
        <w:rPr>
          <w:rFonts w:asciiTheme="majorHAnsi" w:hAnsiTheme="majorHAnsi" w:cstheme="majorHAnsi"/>
        </w:rPr>
      </w:pPr>
    </w:p>
    <w:p w14:paraId="50AA5516" w14:textId="7008466B" w:rsidR="00E84078" w:rsidRPr="003E7F77" w:rsidRDefault="00E84078" w:rsidP="00E84078">
      <w:pPr>
        <w:jc w:val="both"/>
        <w:rPr>
          <w:rFonts w:asciiTheme="majorHAnsi" w:hAnsiTheme="majorHAnsi" w:cstheme="majorHAnsi"/>
          <w:b/>
          <w:bCs/>
          <w:i/>
          <w:iCs/>
        </w:rPr>
      </w:pPr>
      <w:r w:rsidRPr="003E7F77">
        <w:rPr>
          <w:rFonts w:asciiTheme="majorHAnsi" w:hAnsiTheme="majorHAnsi" w:cstheme="majorHAnsi"/>
          <w:b/>
          <w:bCs/>
        </w:rPr>
        <w:t xml:space="preserve"> </w:t>
      </w:r>
      <w:r w:rsidRPr="003E7F77">
        <w:rPr>
          <w:rFonts w:asciiTheme="majorHAnsi" w:hAnsiTheme="majorHAnsi" w:cstheme="majorHAnsi"/>
          <w:b/>
          <w:bCs/>
          <w:i/>
          <w:iCs/>
        </w:rPr>
        <w:t>Women with POI who wish to pursue a pregnancy should be referred to their local fertility service by their GP.</w:t>
      </w:r>
    </w:p>
    <w:p w14:paraId="2C79A3C1" w14:textId="77777777" w:rsidR="00E84078" w:rsidRDefault="00E84078" w:rsidP="00185B4E">
      <w:pPr>
        <w:jc w:val="both"/>
      </w:pPr>
    </w:p>
    <w:p w14:paraId="52C1E66D" w14:textId="77777777" w:rsidR="00EB6327" w:rsidRDefault="00EB6327" w:rsidP="00EB6327">
      <w:pPr>
        <w:jc w:val="both"/>
      </w:pPr>
    </w:p>
    <w:p w14:paraId="2FBBACFA" w14:textId="43100504" w:rsidR="00EE421D" w:rsidRPr="0093451B" w:rsidRDefault="00EE421D" w:rsidP="001533FF">
      <w:pPr>
        <w:pStyle w:val="Heading3"/>
        <w:numPr>
          <w:ilvl w:val="0"/>
          <w:numId w:val="16"/>
        </w:numPr>
        <w:rPr>
          <w:sz w:val="28"/>
          <w:szCs w:val="28"/>
        </w:rPr>
      </w:pPr>
      <w:r w:rsidRPr="0093451B">
        <w:rPr>
          <w:sz w:val="28"/>
          <w:szCs w:val="28"/>
        </w:rPr>
        <w:t>Bone protection</w:t>
      </w:r>
    </w:p>
    <w:p w14:paraId="0F4515CB" w14:textId="77777777" w:rsidR="0091199E" w:rsidRPr="0093451B" w:rsidRDefault="0091199E" w:rsidP="0091199E">
      <w:pPr>
        <w:jc w:val="both"/>
        <w:rPr>
          <w:rFonts w:asciiTheme="majorHAnsi" w:hAnsiTheme="majorHAnsi" w:cstheme="majorHAnsi"/>
          <w:b/>
        </w:rPr>
      </w:pPr>
    </w:p>
    <w:p w14:paraId="47C88F9F" w14:textId="2809CE6A" w:rsidR="00C137E7" w:rsidRDefault="00185B4E" w:rsidP="00185B4E">
      <w:pPr>
        <w:jc w:val="both"/>
        <w:rPr>
          <w:rFonts w:asciiTheme="majorHAnsi" w:hAnsiTheme="majorHAnsi" w:cstheme="majorHAnsi"/>
        </w:rPr>
      </w:pPr>
      <w:r w:rsidRPr="0093451B">
        <w:rPr>
          <w:rFonts w:asciiTheme="majorHAnsi" w:hAnsiTheme="majorHAnsi" w:cstheme="majorHAnsi"/>
        </w:rPr>
        <w:t xml:space="preserve">HRT is first line for the prevention and treatment of osteoporosis.  </w:t>
      </w:r>
      <w:r w:rsidRPr="0093451B">
        <w:rPr>
          <w:rFonts w:asciiTheme="majorHAnsi" w:hAnsiTheme="majorHAnsi" w:cstheme="majorHAnsi"/>
          <w:color w:val="000000" w:themeColor="text1"/>
        </w:rPr>
        <w:t>In women with POI</w:t>
      </w:r>
      <w:r w:rsidR="00DF021E">
        <w:rPr>
          <w:rFonts w:asciiTheme="majorHAnsi" w:hAnsiTheme="majorHAnsi" w:cstheme="majorHAnsi"/>
          <w:color w:val="000000" w:themeColor="text1"/>
        </w:rPr>
        <w:t>,</w:t>
      </w:r>
      <w:r w:rsidRPr="0093451B">
        <w:rPr>
          <w:rFonts w:asciiTheme="majorHAnsi" w:hAnsiTheme="majorHAnsi" w:cstheme="majorHAnsi"/>
          <w:color w:val="000000" w:themeColor="text1"/>
        </w:rPr>
        <w:t xml:space="preserve"> i</w:t>
      </w:r>
      <w:r w:rsidR="0091199E" w:rsidRPr="0093451B">
        <w:rPr>
          <w:rFonts w:asciiTheme="majorHAnsi" w:hAnsiTheme="majorHAnsi" w:cstheme="majorHAnsi"/>
          <w:color w:val="000000" w:themeColor="text1"/>
        </w:rPr>
        <w:t xml:space="preserve">f the baseline DEXA scan </w:t>
      </w:r>
      <w:r w:rsidR="00DF021E">
        <w:rPr>
          <w:rFonts w:asciiTheme="majorHAnsi" w:hAnsiTheme="majorHAnsi" w:cstheme="majorHAnsi"/>
          <w:color w:val="000000" w:themeColor="text1"/>
        </w:rPr>
        <w:t>shows</w:t>
      </w:r>
      <w:r w:rsidR="0091199E" w:rsidRPr="0093451B">
        <w:rPr>
          <w:rFonts w:asciiTheme="majorHAnsi" w:hAnsiTheme="majorHAnsi" w:cstheme="majorHAnsi"/>
          <w:color w:val="000000" w:themeColor="text1"/>
        </w:rPr>
        <w:t xml:space="preserve"> normal</w:t>
      </w:r>
      <w:r w:rsidR="00DF021E">
        <w:rPr>
          <w:rFonts w:asciiTheme="majorHAnsi" w:hAnsiTheme="majorHAnsi" w:cstheme="majorHAnsi"/>
          <w:color w:val="000000" w:themeColor="text1"/>
        </w:rPr>
        <w:t xml:space="preserve"> bone mineral density</w:t>
      </w:r>
      <w:r w:rsidR="0091199E" w:rsidRPr="0093451B">
        <w:rPr>
          <w:rFonts w:asciiTheme="majorHAnsi" w:hAnsiTheme="majorHAnsi" w:cstheme="majorHAnsi"/>
          <w:color w:val="000000" w:themeColor="text1"/>
        </w:rPr>
        <w:t xml:space="preserve"> and HRT is commenced</w:t>
      </w:r>
      <w:r w:rsidR="00DF021E">
        <w:rPr>
          <w:rFonts w:asciiTheme="majorHAnsi" w:hAnsiTheme="majorHAnsi" w:cstheme="majorHAnsi"/>
          <w:color w:val="000000" w:themeColor="text1"/>
        </w:rPr>
        <w:t xml:space="preserve"> then </w:t>
      </w:r>
      <w:r w:rsidR="0091199E" w:rsidRPr="0093451B">
        <w:rPr>
          <w:rFonts w:asciiTheme="majorHAnsi" w:hAnsiTheme="majorHAnsi" w:cstheme="majorHAnsi"/>
          <w:color w:val="000000" w:themeColor="text1"/>
        </w:rPr>
        <w:t xml:space="preserve">no further monitoring is required.  </w:t>
      </w:r>
      <w:r w:rsidR="0091199E" w:rsidRPr="0093451B">
        <w:rPr>
          <w:rFonts w:asciiTheme="majorHAnsi" w:hAnsiTheme="majorHAnsi" w:cstheme="majorHAnsi"/>
        </w:rPr>
        <w:t xml:space="preserve">If the baseline DEXA scan is normal but HRT is </w:t>
      </w:r>
      <w:r w:rsidR="00194A1A" w:rsidRPr="0093451B">
        <w:rPr>
          <w:rFonts w:asciiTheme="majorHAnsi" w:hAnsiTheme="majorHAnsi" w:cstheme="majorHAnsi"/>
        </w:rPr>
        <w:t xml:space="preserve">contraindicated or </w:t>
      </w:r>
      <w:r w:rsidR="0091199E" w:rsidRPr="0093451B">
        <w:rPr>
          <w:rFonts w:asciiTheme="majorHAnsi" w:hAnsiTheme="majorHAnsi" w:cstheme="majorHAnsi"/>
        </w:rPr>
        <w:t xml:space="preserve">declined, </w:t>
      </w:r>
      <w:r w:rsidR="00194A1A" w:rsidRPr="0093451B">
        <w:rPr>
          <w:rFonts w:asciiTheme="majorHAnsi" w:hAnsiTheme="majorHAnsi" w:cstheme="majorHAnsi"/>
        </w:rPr>
        <w:t>the DEXA scan sho</w:t>
      </w:r>
      <w:r w:rsidRPr="0093451B">
        <w:rPr>
          <w:rFonts w:asciiTheme="majorHAnsi" w:hAnsiTheme="majorHAnsi" w:cstheme="majorHAnsi"/>
        </w:rPr>
        <w:t xml:space="preserve">uld be repeated every </w:t>
      </w:r>
      <w:r w:rsidR="00DF021E">
        <w:rPr>
          <w:rFonts w:asciiTheme="majorHAnsi" w:hAnsiTheme="majorHAnsi" w:cstheme="majorHAnsi"/>
        </w:rPr>
        <w:t xml:space="preserve">3 </w:t>
      </w:r>
      <w:r w:rsidRPr="0093451B">
        <w:rPr>
          <w:rFonts w:asciiTheme="majorHAnsi" w:hAnsiTheme="majorHAnsi" w:cstheme="majorHAnsi"/>
        </w:rPr>
        <w:t xml:space="preserve">years. </w:t>
      </w:r>
    </w:p>
    <w:p w14:paraId="5D2473D9" w14:textId="77777777" w:rsidR="00DF021E" w:rsidRDefault="00DF021E" w:rsidP="00185B4E">
      <w:pPr>
        <w:jc w:val="both"/>
        <w:rPr>
          <w:rFonts w:asciiTheme="majorHAnsi" w:hAnsiTheme="majorHAnsi" w:cstheme="majorHAnsi"/>
        </w:rPr>
      </w:pPr>
    </w:p>
    <w:p w14:paraId="100972EA" w14:textId="4966E37B" w:rsidR="00DF021E" w:rsidRPr="0093451B" w:rsidRDefault="00DF021E" w:rsidP="00185B4E">
      <w:pPr>
        <w:jc w:val="both"/>
        <w:rPr>
          <w:rFonts w:asciiTheme="majorHAnsi" w:hAnsiTheme="majorHAnsi" w:cstheme="majorHAnsi"/>
        </w:rPr>
      </w:pPr>
      <w:r>
        <w:rPr>
          <w:rFonts w:asciiTheme="majorHAnsi" w:hAnsiTheme="majorHAnsi" w:cstheme="majorHAnsi"/>
        </w:rPr>
        <w:t>Where a DEXA scan shows low bone mineral density (BMD), repeat the scan in 5 years if HRT is started, and in 2 years if HRT is not started. In the case of women with low BMD at baseline who are not taking HRT, further follow up with DEXA may be needed but the frequency of this may need not be every 2 years if initial follow up shows BMD is stable.</w:t>
      </w:r>
    </w:p>
    <w:p w14:paraId="07DF893E" w14:textId="77777777" w:rsidR="00C137E7" w:rsidRPr="0093451B" w:rsidRDefault="00C137E7" w:rsidP="00185B4E">
      <w:pPr>
        <w:jc w:val="both"/>
        <w:rPr>
          <w:rFonts w:asciiTheme="majorHAnsi" w:hAnsiTheme="majorHAnsi" w:cstheme="majorHAnsi"/>
        </w:rPr>
      </w:pPr>
    </w:p>
    <w:p w14:paraId="3BFC928C" w14:textId="1B407CB2" w:rsidR="00185B4E" w:rsidRPr="0093451B" w:rsidRDefault="00185B4E" w:rsidP="00185B4E">
      <w:pPr>
        <w:jc w:val="both"/>
        <w:rPr>
          <w:rFonts w:asciiTheme="majorHAnsi" w:hAnsiTheme="majorHAnsi" w:cstheme="majorHAnsi"/>
        </w:rPr>
      </w:pPr>
      <w:r w:rsidRPr="0093451B">
        <w:rPr>
          <w:rFonts w:asciiTheme="majorHAnsi" w:hAnsiTheme="majorHAnsi" w:cstheme="majorHAnsi"/>
        </w:rPr>
        <w:t xml:space="preserve">Non-hormonal pharmacological treatments for bone protection </w:t>
      </w:r>
      <w:proofErr w:type="gramStart"/>
      <w:r w:rsidRPr="0093451B">
        <w:rPr>
          <w:rFonts w:asciiTheme="majorHAnsi" w:hAnsiTheme="majorHAnsi" w:cstheme="majorHAnsi"/>
        </w:rPr>
        <w:t>e.g.</w:t>
      </w:r>
      <w:proofErr w:type="gramEnd"/>
      <w:r w:rsidRPr="0093451B">
        <w:rPr>
          <w:rFonts w:asciiTheme="majorHAnsi" w:hAnsiTheme="majorHAnsi" w:cstheme="majorHAnsi"/>
        </w:rPr>
        <w:t xml:space="preserve"> bisphosphonates, selective </w:t>
      </w:r>
      <w:r w:rsidR="00DF021E">
        <w:rPr>
          <w:rFonts w:asciiTheme="majorHAnsi" w:hAnsiTheme="majorHAnsi" w:cstheme="majorHAnsi"/>
        </w:rPr>
        <w:t>o</w:t>
      </w:r>
      <w:r w:rsidRPr="0093451B">
        <w:rPr>
          <w:rFonts w:asciiTheme="majorHAnsi" w:hAnsiTheme="majorHAnsi" w:cstheme="majorHAnsi"/>
        </w:rPr>
        <w:t xml:space="preserve">estrogen receptor modulators, </w:t>
      </w:r>
      <w:proofErr w:type="spellStart"/>
      <w:r w:rsidRPr="0093451B">
        <w:rPr>
          <w:rFonts w:asciiTheme="majorHAnsi" w:hAnsiTheme="majorHAnsi" w:cstheme="majorHAnsi"/>
        </w:rPr>
        <w:t>bazedoxifene</w:t>
      </w:r>
      <w:proofErr w:type="spellEnd"/>
      <w:r w:rsidRPr="0093451B">
        <w:rPr>
          <w:rFonts w:asciiTheme="majorHAnsi" w:hAnsiTheme="majorHAnsi" w:cstheme="majorHAnsi"/>
        </w:rPr>
        <w:t xml:space="preserve">, raloxifene, tamoxifen and teriparatide should only be considered with advice from osteoporosis specialists.  </w:t>
      </w:r>
    </w:p>
    <w:p w14:paraId="25A0C300" w14:textId="77777777" w:rsidR="00C137E7" w:rsidRPr="0093451B" w:rsidRDefault="00C137E7" w:rsidP="00185B4E">
      <w:pPr>
        <w:jc w:val="both"/>
        <w:rPr>
          <w:rFonts w:asciiTheme="majorHAnsi" w:hAnsiTheme="majorHAnsi" w:cstheme="majorHAnsi"/>
        </w:rPr>
      </w:pPr>
    </w:p>
    <w:p w14:paraId="2365A8AD" w14:textId="1ADCABAB" w:rsidR="00C137E7" w:rsidRPr="0093451B" w:rsidRDefault="00C137E7" w:rsidP="00185B4E">
      <w:pPr>
        <w:jc w:val="both"/>
        <w:rPr>
          <w:rFonts w:asciiTheme="majorHAnsi" w:hAnsiTheme="majorHAnsi" w:cstheme="majorHAnsi"/>
          <w:b/>
          <w:i/>
        </w:rPr>
      </w:pPr>
      <w:r w:rsidRPr="0093451B">
        <w:rPr>
          <w:rFonts w:asciiTheme="majorHAnsi" w:hAnsiTheme="majorHAnsi" w:cstheme="majorHAnsi"/>
          <w:b/>
          <w:i/>
        </w:rPr>
        <w:t xml:space="preserve">If the baseline or any subsequent DEXA scan reveals osteopenia or osteoporosis and HRT is contraindicated or declined, refer to endocrinology.  </w:t>
      </w:r>
    </w:p>
    <w:p w14:paraId="638ECD17" w14:textId="1B49B52D" w:rsidR="00185B4E" w:rsidRDefault="00185B4E" w:rsidP="00185B4E">
      <w:pPr>
        <w:jc w:val="both"/>
      </w:pPr>
    </w:p>
    <w:p w14:paraId="75B839F0" w14:textId="77777777" w:rsidR="001533FF" w:rsidRDefault="001533FF" w:rsidP="00185B4E">
      <w:pPr>
        <w:jc w:val="both"/>
      </w:pPr>
    </w:p>
    <w:p w14:paraId="4DE7CC82" w14:textId="1DB747C9" w:rsidR="0057487C" w:rsidRPr="0093451B" w:rsidRDefault="00EE421D" w:rsidP="001533FF">
      <w:pPr>
        <w:pStyle w:val="Heading3"/>
        <w:numPr>
          <w:ilvl w:val="0"/>
          <w:numId w:val="16"/>
        </w:numPr>
        <w:rPr>
          <w:sz w:val="28"/>
          <w:szCs w:val="28"/>
        </w:rPr>
      </w:pPr>
      <w:r w:rsidRPr="0093451B">
        <w:rPr>
          <w:sz w:val="28"/>
          <w:szCs w:val="28"/>
        </w:rPr>
        <w:t>Psychological support</w:t>
      </w:r>
    </w:p>
    <w:p w14:paraId="509D8153" w14:textId="77777777" w:rsidR="00EE421D" w:rsidRDefault="00EE421D" w:rsidP="00AD620B">
      <w:pPr>
        <w:jc w:val="both"/>
      </w:pPr>
    </w:p>
    <w:p w14:paraId="69A2A037" w14:textId="3DF493FD" w:rsidR="00BA66A1" w:rsidRPr="0093451B" w:rsidRDefault="00BA66A1" w:rsidP="00AD620B">
      <w:pPr>
        <w:jc w:val="both"/>
        <w:rPr>
          <w:rFonts w:asciiTheme="majorHAnsi" w:hAnsiTheme="majorHAnsi" w:cstheme="majorHAnsi"/>
        </w:rPr>
      </w:pPr>
      <w:r w:rsidRPr="0093451B">
        <w:rPr>
          <w:rFonts w:asciiTheme="majorHAnsi" w:hAnsiTheme="majorHAnsi" w:cstheme="majorHAnsi"/>
        </w:rPr>
        <w:t xml:space="preserve">A diagnosis of POI can have a detrimental effect on emotional and psychological wellbeing, with those affected reporting higher levels of depression and perceived stress and lower levels of self-esteem and life satisfaction than those unaffected.  This may be due to the diagnosis itself and/or the associated symptoms.  </w:t>
      </w:r>
    </w:p>
    <w:p w14:paraId="3DC3F2DF" w14:textId="77777777" w:rsidR="00BA66A1" w:rsidRPr="0093451B" w:rsidRDefault="00BA66A1" w:rsidP="00AD620B">
      <w:pPr>
        <w:jc w:val="both"/>
        <w:rPr>
          <w:rFonts w:asciiTheme="majorHAnsi" w:hAnsiTheme="majorHAnsi" w:cstheme="majorHAnsi"/>
        </w:rPr>
      </w:pPr>
    </w:p>
    <w:p w14:paraId="4696BF74" w14:textId="5FC839C8" w:rsidR="00AC087A" w:rsidRPr="0093451B" w:rsidRDefault="00B91559" w:rsidP="00AD620B">
      <w:pPr>
        <w:jc w:val="both"/>
        <w:rPr>
          <w:rFonts w:asciiTheme="majorHAnsi" w:hAnsiTheme="majorHAnsi" w:cstheme="majorHAnsi"/>
          <w:b/>
          <w:i/>
        </w:rPr>
      </w:pPr>
      <w:r w:rsidRPr="0093451B">
        <w:rPr>
          <w:rFonts w:asciiTheme="majorHAnsi" w:hAnsiTheme="majorHAnsi" w:cstheme="majorHAnsi"/>
          <w:b/>
          <w:i/>
        </w:rPr>
        <w:t>All women with an established diagnosis of POI should be offered a referral</w:t>
      </w:r>
      <w:r w:rsidR="00EE421D" w:rsidRPr="0093451B">
        <w:rPr>
          <w:rFonts w:asciiTheme="majorHAnsi" w:hAnsiTheme="majorHAnsi" w:cstheme="majorHAnsi"/>
          <w:b/>
          <w:i/>
        </w:rPr>
        <w:t xml:space="preserve"> to </w:t>
      </w:r>
      <w:r w:rsidRPr="0093451B">
        <w:rPr>
          <w:rFonts w:asciiTheme="majorHAnsi" w:hAnsiTheme="majorHAnsi" w:cstheme="majorHAnsi"/>
          <w:b/>
          <w:i/>
        </w:rPr>
        <w:t xml:space="preserve">the </w:t>
      </w:r>
      <w:r w:rsidR="00EE421D" w:rsidRPr="0093451B">
        <w:rPr>
          <w:rFonts w:asciiTheme="majorHAnsi" w:hAnsiTheme="majorHAnsi" w:cstheme="majorHAnsi"/>
          <w:b/>
          <w:i/>
        </w:rPr>
        <w:t>counselling team at Leeds Fertility</w:t>
      </w:r>
      <w:r w:rsidRPr="0093451B">
        <w:rPr>
          <w:rFonts w:asciiTheme="majorHAnsi" w:hAnsiTheme="majorHAnsi" w:cstheme="majorHAnsi"/>
          <w:b/>
          <w:i/>
        </w:rPr>
        <w:t xml:space="preserve">.  </w:t>
      </w:r>
    </w:p>
    <w:p w14:paraId="288009AE" w14:textId="451EE4CA" w:rsidR="00AC087A" w:rsidRDefault="00AC087A" w:rsidP="00AD620B">
      <w:pPr>
        <w:jc w:val="both"/>
        <w:rPr>
          <w:b/>
          <w:bCs/>
        </w:rPr>
      </w:pPr>
    </w:p>
    <w:p w14:paraId="4D3BEC67" w14:textId="0EE90F27" w:rsidR="00823610" w:rsidRDefault="00823610" w:rsidP="00AD620B">
      <w:pPr>
        <w:jc w:val="both"/>
        <w:rPr>
          <w:b/>
          <w:bCs/>
        </w:rPr>
      </w:pPr>
    </w:p>
    <w:p w14:paraId="1DF6F594" w14:textId="0A48E766" w:rsidR="00823610" w:rsidRPr="00823610" w:rsidRDefault="006E1A88" w:rsidP="00823610">
      <w:pPr>
        <w:pStyle w:val="Heading2"/>
        <w:rPr>
          <w:sz w:val="28"/>
          <w:szCs w:val="28"/>
        </w:rPr>
      </w:pPr>
      <w:r w:rsidRPr="00823610">
        <w:rPr>
          <w:sz w:val="28"/>
          <w:szCs w:val="28"/>
        </w:rPr>
        <w:t>FOLLOW-UP AND HRT REVIEW</w:t>
      </w:r>
    </w:p>
    <w:p w14:paraId="456DFDDB" w14:textId="77777777" w:rsidR="00AC087A" w:rsidRDefault="00AC087A" w:rsidP="00AD620B">
      <w:pPr>
        <w:jc w:val="both"/>
        <w:rPr>
          <w:b/>
          <w:bCs/>
        </w:rPr>
      </w:pPr>
    </w:p>
    <w:p w14:paraId="3E986370" w14:textId="229CEF7B" w:rsidR="00AC087A" w:rsidRPr="00823610" w:rsidRDefault="00823610" w:rsidP="00AD620B">
      <w:pPr>
        <w:jc w:val="both"/>
        <w:rPr>
          <w:rFonts w:asciiTheme="majorHAnsi" w:hAnsiTheme="majorHAnsi" w:cstheme="majorHAnsi"/>
        </w:rPr>
      </w:pPr>
      <w:r>
        <w:rPr>
          <w:rFonts w:asciiTheme="majorHAnsi" w:hAnsiTheme="majorHAnsi" w:cstheme="majorHAnsi"/>
        </w:rPr>
        <w:t>Women with POI should be</w:t>
      </w:r>
      <w:r w:rsidR="001838F5">
        <w:rPr>
          <w:rFonts w:asciiTheme="majorHAnsi" w:hAnsiTheme="majorHAnsi" w:cstheme="majorHAnsi"/>
        </w:rPr>
        <w:t xml:space="preserve"> referred to the Menopause clinic. HRT and overall management will be</w:t>
      </w:r>
      <w:r>
        <w:rPr>
          <w:rFonts w:asciiTheme="majorHAnsi" w:hAnsiTheme="majorHAnsi" w:cstheme="majorHAnsi"/>
        </w:rPr>
        <w:t xml:space="preserve"> reviewed 3 months after diagnosis and commencement of HRT, and then annually.</w:t>
      </w:r>
    </w:p>
    <w:p w14:paraId="36DA7BD9" w14:textId="77777777" w:rsidR="001533FF" w:rsidRDefault="001533FF">
      <w:pPr>
        <w:rPr>
          <w:rFonts w:asciiTheme="majorHAnsi" w:eastAsiaTheme="majorEastAsia" w:hAnsiTheme="majorHAnsi" w:cstheme="majorBidi"/>
          <w:color w:val="365F91" w:themeColor="accent1" w:themeShade="BF"/>
          <w:sz w:val="26"/>
          <w:szCs w:val="26"/>
        </w:rPr>
      </w:pPr>
      <w:r>
        <w:br w:type="page"/>
      </w:r>
    </w:p>
    <w:p w14:paraId="594898A8" w14:textId="49A6D7F9" w:rsidR="001533FF" w:rsidRDefault="001533FF">
      <w:pPr>
        <w:rPr>
          <w:rFonts w:asciiTheme="majorHAnsi" w:eastAsiaTheme="majorEastAsia" w:hAnsiTheme="majorHAnsi" w:cstheme="majorBidi"/>
          <w:color w:val="365F91" w:themeColor="accent1" w:themeShade="BF"/>
          <w:sz w:val="26"/>
          <w:szCs w:val="26"/>
        </w:rPr>
      </w:pPr>
      <w:r>
        <w:rPr>
          <w:noProof/>
          <w:lang w:eastAsia="en-GB"/>
        </w:rPr>
        <w:lastRenderedPageBreak/>
        <mc:AlternateContent>
          <mc:Choice Requires="wps">
            <w:drawing>
              <wp:inline distT="0" distB="0" distL="0" distR="0" wp14:anchorId="736A8E37" wp14:editId="23FC5B1B">
                <wp:extent cx="5390515" cy="4673600"/>
                <wp:effectExtent l="0" t="0" r="19685" b="12700"/>
                <wp:docPr id="1" name="Text Box 1"/>
                <wp:cNvGraphicFramePr/>
                <a:graphic xmlns:a="http://schemas.openxmlformats.org/drawingml/2006/main">
                  <a:graphicData uri="http://schemas.microsoft.com/office/word/2010/wordprocessingShape">
                    <wps:wsp>
                      <wps:cNvSpPr txBox="1"/>
                      <wps:spPr>
                        <a:xfrm>
                          <a:off x="0" y="0"/>
                          <a:ext cx="5390515" cy="4673600"/>
                        </a:xfrm>
                        <a:prstGeom prst="rect">
                          <a:avLst/>
                        </a:prstGeom>
                        <a:solidFill>
                          <a:schemeClr val="lt1"/>
                        </a:solidFill>
                        <a:ln w="6350">
                          <a:solidFill>
                            <a:prstClr val="black"/>
                          </a:solidFill>
                        </a:ln>
                      </wps:spPr>
                      <wps:txbx>
                        <w:txbxContent>
                          <w:p w14:paraId="2A16E652" w14:textId="22981FB8" w:rsidR="00AC087A" w:rsidRPr="0093451B" w:rsidRDefault="00AC087A" w:rsidP="001533FF">
                            <w:pPr>
                              <w:pStyle w:val="Heading2"/>
                              <w:rPr>
                                <w:sz w:val="28"/>
                                <w:szCs w:val="28"/>
                              </w:rPr>
                            </w:pPr>
                            <w:r w:rsidRPr="0093451B">
                              <w:rPr>
                                <w:sz w:val="28"/>
                                <w:szCs w:val="28"/>
                              </w:rPr>
                              <w:t>S</w:t>
                            </w:r>
                            <w:r w:rsidR="0093451B" w:rsidRPr="0093451B">
                              <w:rPr>
                                <w:sz w:val="28"/>
                                <w:szCs w:val="28"/>
                              </w:rPr>
                              <w:t>ummary – Premature Ovarian Insufficiency</w:t>
                            </w:r>
                          </w:p>
                          <w:p w14:paraId="4B8E90E2" w14:textId="77777777" w:rsidR="00AC087A" w:rsidRDefault="00AC087A" w:rsidP="00AC087A">
                            <w:pPr>
                              <w:jc w:val="both"/>
                            </w:pPr>
                          </w:p>
                          <w:p w14:paraId="375917AD" w14:textId="77777777" w:rsidR="00AC087A" w:rsidRPr="0093451B" w:rsidRDefault="00AC087A" w:rsidP="001533FF">
                            <w:pPr>
                              <w:pStyle w:val="Heading3"/>
                              <w:rPr>
                                <w:sz w:val="28"/>
                                <w:szCs w:val="28"/>
                              </w:rPr>
                            </w:pPr>
                            <w:r w:rsidRPr="0093451B">
                              <w:rPr>
                                <w:sz w:val="28"/>
                                <w:szCs w:val="28"/>
                              </w:rPr>
                              <w:t>Diagnosis</w:t>
                            </w:r>
                          </w:p>
                          <w:p w14:paraId="6FEE1F10" w14:textId="77777777" w:rsidR="00AC087A" w:rsidRDefault="00AC087A" w:rsidP="00AC087A">
                            <w:pPr>
                              <w:jc w:val="both"/>
                              <w:rPr>
                                <w:b/>
                                <w:bCs/>
                              </w:rPr>
                            </w:pPr>
                          </w:p>
                          <w:p w14:paraId="1D2A9323" w14:textId="77777777" w:rsidR="00AC087A" w:rsidRPr="00E30092" w:rsidRDefault="00AC087A" w:rsidP="00AC087A">
                            <w:pPr>
                              <w:pStyle w:val="ListParagraph"/>
                              <w:numPr>
                                <w:ilvl w:val="0"/>
                                <w:numId w:val="13"/>
                              </w:numPr>
                              <w:jc w:val="both"/>
                              <w:rPr>
                                <w:rFonts w:asciiTheme="majorHAnsi" w:hAnsiTheme="majorHAnsi" w:cstheme="majorHAnsi"/>
                              </w:rPr>
                            </w:pPr>
                            <w:r w:rsidRPr="00E30092">
                              <w:rPr>
                                <w:rFonts w:asciiTheme="majorHAnsi" w:hAnsiTheme="majorHAnsi" w:cstheme="majorHAnsi"/>
                              </w:rPr>
                              <w:t xml:space="preserve">Amenorrhoea or oligomenorrhoea of at least 4 months duration </w:t>
                            </w:r>
                            <w:r w:rsidRPr="00E30092">
                              <w:rPr>
                                <w:rFonts w:asciiTheme="majorHAnsi" w:hAnsiTheme="majorHAnsi" w:cstheme="majorHAnsi"/>
                                <w:b/>
                                <w:bCs/>
                                <w:u w:val="single"/>
                              </w:rPr>
                              <w:t>AND</w:t>
                            </w:r>
                          </w:p>
                          <w:p w14:paraId="055B75F8" w14:textId="70D1F94B" w:rsidR="00AC087A" w:rsidRPr="00E30092" w:rsidRDefault="00AC087A" w:rsidP="00AC087A">
                            <w:pPr>
                              <w:pStyle w:val="ListParagraph"/>
                              <w:numPr>
                                <w:ilvl w:val="0"/>
                                <w:numId w:val="13"/>
                              </w:numPr>
                              <w:jc w:val="both"/>
                              <w:rPr>
                                <w:rFonts w:asciiTheme="majorHAnsi" w:hAnsiTheme="majorHAnsi" w:cstheme="majorHAnsi"/>
                              </w:rPr>
                            </w:pPr>
                            <w:r w:rsidRPr="00E30092">
                              <w:rPr>
                                <w:rFonts w:asciiTheme="majorHAnsi" w:hAnsiTheme="majorHAnsi" w:cstheme="majorHAnsi"/>
                              </w:rPr>
                              <w:t>FSH &gt;25iu/l</w:t>
                            </w:r>
                            <w:r w:rsidR="001533FF" w:rsidRPr="00E30092">
                              <w:rPr>
                                <w:rFonts w:asciiTheme="majorHAnsi" w:hAnsiTheme="majorHAnsi" w:cstheme="majorHAnsi"/>
                              </w:rPr>
                              <w:t xml:space="preserve"> </w:t>
                            </w:r>
                            <w:r w:rsidRPr="00E30092">
                              <w:rPr>
                                <w:rFonts w:asciiTheme="majorHAnsi" w:hAnsiTheme="majorHAnsi" w:cstheme="majorHAnsi"/>
                              </w:rPr>
                              <w:t xml:space="preserve">on 2 occasions </w:t>
                            </w:r>
                            <w:r w:rsidR="001533FF" w:rsidRPr="00E30092">
                              <w:rPr>
                                <w:rFonts w:asciiTheme="majorHAnsi" w:hAnsiTheme="majorHAnsi" w:cstheme="majorHAnsi"/>
                              </w:rPr>
                              <w:t>&gt;</w:t>
                            </w:r>
                            <w:r w:rsidRPr="00E30092">
                              <w:rPr>
                                <w:rFonts w:asciiTheme="majorHAnsi" w:hAnsiTheme="majorHAnsi" w:cstheme="majorHAnsi"/>
                              </w:rPr>
                              <w:t xml:space="preserve"> 4 weeks apart</w:t>
                            </w:r>
                          </w:p>
                          <w:p w14:paraId="20C94CD0" w14:textId="77777777" w:rsidR="00AC087A" w:rsidRPr="00AC087A" w:rsidRDefault="00AC087A" w:rsidP="00AC087A">
                            <w:pPr>
                              <w:jc w:val="both"/>
                              <w:rPr>
                                <w:b/>
                                <w:bCs/>
                              </w:rPr>
                            </w:pPr>
                          </w:p>
                          <w:p w14:paraId="6594975C" w14:textId="77777777" w:rsidR="00AC087A" w:rsidRPr="0093451B" w:rsidRDefault="00AC087A" w:rsidP="001533FF">
                            <w:pPr>
                              <w:pStyle w:val="Heading3"/>
                              <w:rPr>
                                <w:sz w:val="28"/>
                                <w:szCs w:val="28"/>
                              </w:rPr>
                            </w:pPr>
                            <w:r w:rsidRPr="0093451B">
                              <w:rPr>
                                <w:sz w:val="28"/>
                                <w:szCs w:val="28"/>
                              </w:rPr>
                              <w:t>Investigations</w:t>
                            </w:r>
                          </w:p>
                          <w:p w14:paraId="107F8F6C" w14:textId="77777777" w:rsidR="00AC087A" w:rsidRDefault="00AC087A" w:rsidP="00AC087A">
                            <w:pPr>
                              <w:jc w:val="both"/>
                              <w:rPr>
                                <w:b/>
                                <w:bCs/>
                              </w:rPr>
                            </w:pPr>
                          </w:p>
                          <w:p w14:paraId="08ADE466" w14:textId="77777777" w:rsidR="00AC087A" w:rsidRPr="00E30092" w:rsidRDefault="00AC087A" w:rsidP="00AC087A">
                            <w:pPr>
                              <w:pStyle w:val="ListParagraph"/>
                              <w:numPr>
                                <w:ilvl w:val="0"/>
                                <w:numId w:val="12"/>
                              </w:numPr>
                              <w:jc w:val="both"/>
                              <w:rPr>
                                <w:rFonts w:asciiTheme="majorHAnsi" w:hAnsiTheme="majorHAnsi" w:cstheme="majorHAnsi"/>
                              </w:rPr>
                            </w:pPr>
                            <w:r w:rsidRPr="00E30092">
                              <w:rPr>
                                <w:rFonts w:asciiTheme="majorHAnsi" w:hAnsiTheme="majorHAnsi" w:cstheme="majorHAnsi"/>
                              </w:rPr>
                              <w:t>Karyotype</w:t>
                            </w:r>
                          </w:p>
                          <w:p w14:paraId="121FDF72" w14:textId="77777777" w:rsidR="00AC087A" w:rsidRPr="00E30092" w:rsidRDefault="00AC087A" w:rsidP="00AC087A">
                            <w:pPr>
                              <w:pStyle w:val="ListParagraph"/>
                              <w:numPr>
                                <w:ilvl w:val="0"/>
                                <w:numId w:val="12"/>
                              </w:numPr>
                              <w:jc w:val="both"/>
                              <w:rPr>
                                <w:rFonts w:asciiTheme="majorHAnsi" w:hAnsiTheme="majorHAnsi" w:cstheme="majorHAnsi"/>
                              </w:rPr>
                            </w:pPr>
                            <w:r w:rsidRPr="00E30092">
                              <w:rPr>
                                <w:rFonts w:asciiTheme="majorHAnsi" w:hAnsiTheme="majorHAnsi" w:cstheme="majorHAnsi"/>
                              </w:rPr>
                              <w:t>Fragile-X pre-mutation</w:t>
                            </w:r>
                          </w:p>
                          <w:p w14:paraId="6BCBC957" w14:textId="77777777" w:rsidR="00AC087A" w:rsidRPr="00E30092" w:rsidRDefault="00AC087A" w:rsidP="00AC087A">
                            <w:pPr>
                              <w:pStyle w:val="ListParagraph"/>
                              <w:numPr>
                                <w:ilvl w:val="0"/>
                                <w:numId w:val="12"/>
                              </w:numPr>
                              <w:jc w:val="both"/>
                              <w:rPr>
                                <w:rFonts w:asciiTheme="majorHAnsi" w:hAnsiTheme="majorHAnsi" w:cstheme="majorHAnsi"/>
                              </w:rPr>
                            </w:pPr>
                            <w:r w:rsidRPr="00E30092">
                              <w:rPr>
                                <w:rFonts w:asciiTheme="majorHAnsi" w:hAnsiTheme="majorHAnsi" w:cstheme="majorHAnsi"/>
                              </w:rPr>
                              <w:t>TPO Abs</w:t>
                            </w:r>
                          </w:p>
                          <w:p w14:paraId="03F7FFE7" w14:textId="77777777" w:rsidR="00AC087A" w:rsidRPr="00E30092" w:rsidRDefault="00AC087A" w:rsidP="00AC087A">
                            <w:pPr>
                              <w:pStyle w:val="ListParagraph"/>
                              <w:numPr>
                                <w:ilvl w:val="0"/>
                                <w:numId w:val="12"/>
                              </w:numPr>
                              <w:jc w:val="both"/>
                              <w:rPr>
                                <w:rFonts w:asciiTheme="majorHAnsi" w:hAnsiTheme="majorHAnsi" w:cstheme="majorHAnsi"/>
                              </w:rPr>
                            </w:pPr>
                            <w:r w:rsidRPr="00E30092">
                              <w:rPr>
                                <w:rFonts w:asciiTheme="majorHAnsi" w:hAnsiTheme="majorHAnsi" w:cstheme="majorHAnsi"/>
                              </w:rPr>
                              <w:t>21-OH Abs or ACA</w:t>
                            </w:r>
                          </w:p>
                          <w:p w14:paraId="5C20E69B" w14:textId="60EC7D7D" w:rsidR="00AC087A" w:rsidRPr="00E30092" w:rsidRDefault="00AC087A" w:rsidP="00AC087A">
                            <w:pPr>
                              <w:pStyle w:val="ListParagraph"/>
                              <w:numPr>
                                <w:ilvl w:val="0"/>
                                <w:numId w:val="12"/>
                              </w:numPr>
                              <w:jc w:val="both"/>
                              <w:rPr>
                                <w:rFonts w:asciiTheme="majorHAnsi" w:hAnsiTheme="majorHAnsi" w:cstheme="majorHAnsi"/>
                              </w:rPr>
                            </w:pPr>
                            <w:r w:rsidRPr="00E30092">
                              <w:rPr>
                                <w:rFonts w:asciiTheme="majorHAnsi" w:hAnsiTheme="majorHAnsi" w:cstheme="majorHAnsi"/>
                              </w:rPr>
                              <w:t>DEXA</w:t>
                            </w:r>
                            <w:r w:rsidR="00E30092">
                              <w:rPr>
                                <w:rFonts w:asciiTheme="majorHAnsi" w:hAnsiTheme="majorHAnsi" w:cstheme="majorHAnsi"/>
                              </w:rPr>
                              <w:t xml:space="preserve"> bone mineral density scan</w:t>
                            </w:r>
                          </w:p>
                          <w:p w14:paraId="753BB028" w14:textId="77777777" w:rsidR="00AC087A" w:rsidRPr="00AC087A" w:rsidRDefault="00AC087A" w:rsidP="00AC087A">
                            <w:pPr>
                              <w:jc w:val="both"/>
                              <w:rPr>
                                <w:b/>
                                <w:bCs/>
                              </w:rPr>
                            </w:pPr>
                          </w:p>
                          <w:p w14:paraId="0DE1E54C" w14:textId="77777777" w:rsidR="00AC087A" w:rsidRPr="0093451B" w:rsidRDefault="00AC087A" w:rsidP="001533FF">
                            <w:pPr>
                              <w:pStyle w:val="Heading3"/>
                              <w:rPr>
                                <w:sz w:val="28"/>
                                <w:szCs w:val="28"/>
                              </w:rPr>
                            </w:pPr>
                            <w:r w:rsidRPr="0093451B">
                              <w:rPr>
                                <w:sz w:val="28"/>
                                <w:szCs w:val="28"/>
                              </w:rPr>
                              <w:t>Management</w:t>
                            </w:r>
                          </w:p>
                          <w:p w14:paraId="2E264457" w14:textId="77777777" w:rsidR="00AC087A" w:rsidRDefault="00AC087A" w:rsidP="00AC087A">
                            <w:pPr>
                              <w:jc w:val="both"/>
                            </w:pPr>
                          </w:p>
                          <w:p w14:paraId="0D188C22"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Lifestyle advice</w:t>
                            </w:r>
                          </w:p>
                          <w:p w14:paraId="01C4B59E"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Hormone replacement</w:t>
                            </w:r>
                          </w:p>
                          <w:p w14:paraId="727829E4"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Contraception</w:t>
                            </w:r>
                          </w:p>
                          <w:p w14:paraId="06EBF237"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Fertility</w:t>
                            </w:r>
                          </w:p>
                          <w:p w14:paraId="24B7DF0E"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Bone protection</w:t>
                            </w:r>
                          </w:p>
                          <w:p w14:paraId="3CF4E2F8"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Psychological support</w:t>
                            </w:r>
                          </w:p>
                          <w:p w14:paraId="57372C8C" w14:textId="77777777" w:rsidR="00AC087A" w:rsidRDefault="00AC08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36A8E37" id="_x0000_t202" coordsize="21600,21600" o:spt="202" path="m,l,21600r21600,l21600,xe">
                <v:stroke joinstyle="miter"/>
                <v:path gradientshapeok="t" o:connecttype="rect"/>
              </v:shapetype>
              <v:shape id="Text Box 1" o:spid="_x0000_s1026" type="#_x0000_t202" style="width:424.4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3ifOAIAAH0EAAAOAAAAZHJzL2Uyb0RvYy54bWysVEtv2zAMvg/YfxB0X+w8uxpxiixFhgFB&#10;WyAdelZkKTYmi5qkxM5+/SjFeXU7DbvIpEh9JD+Snj60tSJ7YV0FOqf9XkqJ0ByKSm9z+v11+ekz&#10;Jc4zXTAFWuT0IBx9mH38MG1MJgZQgiqEJQiiXdaYnJbemyxJHC9FzVwPjNBolGBr5lG126SwrEH0&#10;WiWDNJ0kDdjCWODCObx9PBrpLOJLKbh/ltIJT1ROMTcfTxvPTTiT2ZRlW8tMWfEuDfYPWdSs0hj0&#10;DPXIPCM7W/0BVVfcggPpexzqBKSsuIg1YDX99F0165IZEWtBcpw50+T+Hyx/2q/NiyW+/QItNjAQ&#10;0hiXObwM9bTS1uGLmRK0I4WHM22i9YTj5Xh4n477Y0o42kaTu+EkjcQml+fGOv9VQE2CkFOLfYl0&#10;sf3KeQyJrieXEM2BqoplpVRUwiyIhbJkz7CLysck8cWNl9KkyelkOE4j8I0tQJ/fbxTjP0KZtwio&#10;KY2Xl+KD5NtN2zGygeKARFk4zpAzfFkh7oo5/8IsDg1yg4vgn/GQCjAZ6CRKSrC//nYf/LGXaKWk&#10;wSHMqfu5Y1ZQor5p7PJ9fzQKUxuV0fhugIq9tmyuLXpXLwAZ6uPKGR7F4O/VSZQW6jfcl3mIiiam&#10;OcbOqT+JC39cDdw3Lubz6IRzaphf6bXhATp0JPD52r4xa7p+ehyFJziNK8vetfXoG15qmO88yCr2&#10;PBB8ZLXjHWc8tqXbx7BE13r0uvw1Zr8BAAD//wMAUEsDBBQABgAIAAAAIQAdSnAP2gAAAAUBAAAP&#10;AAAAZHJzL2Rvd25yZXYueG1sTI/NTsMwEITvSLyDtUjcqMOPihviVIAKF04UxHkbb22LeB3Fbhre&#10;HsMFLiuNZjTzbbOeQy8mGpOPrOFyUYEg7qLxbDW8vz1dKBApIxvsI5OGL0qwbk9PGqxNPPIrTdts&#10;RSnhVKMGl/NQS5k6RwHTIg7ExdvHMWAucrTSjHgs5aGXV1W1lAE9lwWHAz066j63h6Bh82BXtlM4&#10;uo0y3k/zx/7FPmt9fjbf34HINOe/MPzgF3RoC9MuHtgk0Wsoj+TfWzx1o1Ygdhpur5cVyLaR/+nb&#10;bwAAAP//AwBQSwECLQAUAAYACAAAACEAtoM4kv4AAADhAQAAEwAAAAAAAAAAAAAAAAAAAAAAW0Nv&#10;bnRlbnRfVHlwZXNdLnhtbFBLAQItABQABgAIAAAAIQA4/SH/1gAAAJQBAAALAAAAAAAAAAAAAAAA&#10;AC8BAABfcmVscy8ucmVsc1BLAQItABQABgAIAAAAIQA1A3ifOAIAAH0EAAAOAAAAAAAAAAAAAAAA&#10;AC4CAABkcnMvZTJvRG9jLnhtbFBLAQItABQABgAIAAAAIQAdSnAP2gAAAAUBAAAPAAAAAAAAAAAA&#10;AAAAAJIEAABkcnMvZG93bnJldi54bWxQSwUGAAAAAAQABADzAAAAmQUAAAAA&#10;" fillcolor="white [3201]" strokeweight=".5pt">
                <v:textbox>
                  <w:txbxContent>
                    <w:p w14:paraId="2A16E652" w14:textId="22981FB8" w:rsidR="00AC087A" w:rsidRPr="0093451B" w:rsidRDefault="00AC087A" w:rsidP="001533FF">
                      <w:pPr>
                        <w:pStyle w:val="Heading2"/>
                        <w:rPr>
                          <w:sz w:val="28"/>
                          <w:szCs w:val="28"/>
                        </w:rPr>
                      </w:pPr>
                      <w:r w:rsidRPr="0093451B">
                        <w:rPr>
                          <w:sz w:val="28"/>
                          <w:szCs w:val="28"/>
                        </w:rPr>
                        <w:t>S</w:t>
                      </w:r>
                      <w:r w:rsidR="0093451B" w:rsidRPr="0093451B">
                        <w:rPr>
                          <w:sz w:val="28"/>
                          <w:szCs w:val="28"/>
                        </w:rPr>
                        <w:t>ummary – Premature Ovarian Insufficiency</w:t>
                      </w:r>
                    </w:p>
                    <w:p w14:paraId="4B8E90E2" w14:textId="77777777" w:rsidR="00AC087A" w:rsidRDefault="00AC087A" w:rsidP="00AC087A">
                      <w:pPr>
                        <w:jc w:val="both"/>
                      </w:pPr>
                    </w:p>
                    <w:p w14:paraId="375917AD" w14:textId="77777777" w:rsidR="00AC087A" w:rsidRPr="0093451B" w:rsidRDefault="00AC087A" w:rsidP="001533FF">
                      <w:pPr>
                        <w:pStyle w:val="Heading3"/>
                        <w:rPr>
                          <w:sz w:val="28"/>
                          <w:szCs w:val="28"/>
                        </w:rPr>
                      </w:pPr>
                      <w:r w:rsidRPr="0093451B">
                        <w:rPr>
                          <w:sz w:val="28"/>
                          <w:szCs w:val="28"/>
                        </w:rPr>
                        <w:t>Diagnosis</w:t>
                      </w:r>
                    </w:p>
                    <w:p w14:paraId="6FEE1F10" w14:textId="77777777" w:rsidR="00AC087A" w:rsidRDefault="00AC087A" w:rsidP="00AC087A">
                      <w:pPr>
                        <w:jc w:val="both"/>
                        <w:rPr>
                          <w:b/>
                          <w:bCs/>
                        </w:rPr>
                      </w:pPr>
                    </w:p>
                    <w:p w14:paraId="1D2A9323" w14:textId="77777777" w:rsidR="00AC087A" w:rsidRPr="00E30092" w:rsidRDefault="00AC087A" w:rsidP="00AC087A">
                      <w:pPr>
                        <w:pStyle w:val="ListParagraph"/>
                        <w:numPr>
                          <w:ilvl w:val="0"/>
                          <w:numId w:val="13"/>
                        </w:numPr>
                        <w:jc w:val="both"/>
                        <w:rPr>
                          <w:rFonts w:asciiTheme="majorHAnsi" w:hAnsiTheme="majorHAnsi" w:cstheme="majorHAnsi"/>
                        </w:rPr>
                      </w:pPr>
                      <w:r w:rsidRPr="00E30092">
                        <w:rPr>
                          <w:rFonts w:asciiTheme="majorHAnsi" w:hAnsiTheme="majorHAnsi" w:cstheme="majorHAnsi"/>
                        </w:rPr>
                        <w:t xml:space="preserve">Amenorrhoea or oligomenorrhoea of at least 4 months duration </w:t>
                      </w:r>
                      <w:r w:rsidRPr="00E30092">
                        <w:rPr>
                          <w:rFonts w:asciiTheme="majorHAnsi" w:hAnsiTheme="majorHAnsi" w:cstheme="majorHAnsi"/>
                          <w:b/>
                          <w:bCs/>
                          <w:u w:val="single"/>
                        </w:rPr>
                        <w:t>AND</w:t>
                      </w:r>
                    </w:p>
                    <w:p w14:paraId="055B75F8" w14:textId="70D1F94B" w:rsidR="00AC087A" w:rsidRPr="00E30092" w:rsidRDefault="00AC087A" w:rsidP="00AC087A">
                      <w:pPr>
                        <w:pStyle w:val="ListParagraph"/>
                        <w:numPr>
                          <w:ilvl w:val="0"/>
                          <w:numId w:val="13"/>
                        </w:numPr>
                        <w:jc w:val="both"/>
                        <w:rPr>
                          <w:rFonts w:asciiTheme="majorHAnsi" w:hAnsiTheme="majorHAnsi" w:cstheme="majorHAnsi"/>
                        </w:rPr>
                      </w:pPr>
                      <w:r w:rsidRPr="00E30092">
                        <w:rPr>
                          <w:rFonts w:asciiTheme="majorHAnsi" w:hAnsiTheme="majorHAnsi" w:cstheme="majorHAnsi"/>
                        </w:rPr>
                        <w:t>FSH &gt;25iu/l</w:t>
                      </w:r>
                      <w:r w:rsidR="001533FF" w:rsidRPr="00E30092">
                        <w:rPr>
                          <w:rFonts w:asciiTheme="majorHAnsi" w:hAnsiTheme="majorHAnsi" w:cstheme="majorHAnsi"/>
                        </w:rPr>
                        <w:t xml:space="preserve"> </w:t>
                      </w:r>
                      <w:r w:rsidRPr="00E30092">
                        <w:rPr>
                          <w:rFonts w:asciiTheme="majorHAnsi" w:hAnsiTheme="majorHAnsi" w:cstheme="majorHAnsi"/>
                        </w:rPr>
                        <w:t xml:space="preserve">on 2 occasions </w:t>
                      </w:r>
                      <w:r w:rsidR="001533FF" w:rsidRPr="00E30092">
                        <w:rPr>
                          <w:rFonts w:asciiTheme="majorHAnsi" w:hAnsiTheme="majorHAnsi" w:cstheme="majorHAnsi"/>
                        </w:rPr>
                        <w:t>&gt;</w:t>
                      </w:r>
                      <w:r w:rsidRPr="00E30092">
                        <w:rPr>
                          <w:rFonts w:asciiTheme="majorHAnsi" w:hAnsiTheme="majorHAnsi" w:cstheme="majorHAnsi"/>
                        </w:rPr>
                        <w:t xml:space="preserve"> 4 weeks apart</w:t>
                      </w:r>
                    </w:p>
                    <w:p w14:paraId="20C94CD0" w14:textId="77777777" w:rsidR="00AC087A" w:rsidRPr="00AC087A" w:rsidRDefault="00AC087A" w:rsidP="00AC087A">
                      <w:pPr>
                        <w:jc w:val="both"/>
                        <w:rPr>
                          <w:b/>
                          <w:bCs/>
                        </w:rPr>
                      </w:pPr>
                    </w:p>
                    <w:p w14:paraId="6594975C" w14:textId="77777777" w:rsidR="00AC087A" w:rsidRPr="0093451B" w:rsidRDefault="00AC087A" w:rsidP="001533FF">
                      <w:pPr>
                        <w:pStyle w:val="Heading3"/>
                        <w:rPr>
                          <w:sz w:val="28"/>
                          <w:szCs w:val="28"/>
                        </w:rPr>
                      </w:pPr>
                      <w:r w:rsidRPr="0093451B">
                        <w:rPr>
                          <w:sz w:val="28"/>
                          <w:szCs w:val="28"/>
                        </w:rPr>
                        <w:t>Investigations</w:t>
                      </w:r>
                    </w:p>
                    <w:p w14:paraId="107F8F6C" w14:textId="77777777" w:rsidR="00AC087A" w:rsidRDefault="00AC087A" w:rsidP="00AC087A">
                      <w:pPr>
                        <w:jc w:val="both"/>
                        <w:rPr>
                          <w:b/>
                          <w:bCs/>
                        </w:rPr>
                      </w:pPr>
                    </w:p>
                    <w:p w14:paraId="08ADE466" w14:textId="77777777" w:rsidR="00AC087A" w:rsidRPr="00E30092" w:rsidRDefault="00AC087A" w:rsidP="00AC087A">
                      <w:pPr>
                        <w:pStyle w:val="ListParagraph"/>
                        <w:numPr>
                          <w:ilvl w:val="0"/>
                          <w:numId w:val="12"/>
                        </w:numPr>
                        <w:jc w:val="both"/>
                        <w:rPr>
                          <w:rFonts w:asciiTheme="majorHAnsi" w:hAnsiTheme="majorHAnsi" w:cstheme="majorHAnsi"/>
                        </w:rPr>
                      </w:pPr>
                      <w:r w:rsidRPr="00E30092">
                        <w:rPr>
                          <w:rFonts w:asciiTheme="majorHAnsi" w:hAnsiTheme="majorHAnsi" w:cstheme="majorHAnsi"/>
                        </w:rPr>
                        <w:t>Karyotype</w:t>
                      </w:r>
                    </w:p>
                    <w:p w14:paraId="121FDF72" w14:textId="77777777" w:rsidR="00AC087A" w:rsidRPr="00E30092" w:rsidRDefault="00AC087A" w:rsidP="00AC087A">
                      <w:pPr>
                        <w:pStyle w:val="ListParagraph"/>
                        <w:numPr>
                          <w:ilvl w:val="0"/>
                          <w:numId w:val="12"/>
                        </w:numPr>
                        <w:jc w:val="both"/>
                        <w:rPr>
                          <w:rFonts w:asciiTheme="majorHAnsi" w:hAnsiTheme="majorHAnsi" w:cstheme="majorHAnsi"/>
                        </w:rPr>
                      </w:pPr>
                      <w:r w:rsidRPr="00E30092">
                        <w:rPr>
                          <w:rFonts w:asciiTheme="majorHAnsi" w:hAnsiTheme="majorHAnsi" w:cstheme="majorHAnsi"/>
                        </w:rPr>
                        <w:t>Fragile-X pre-mutation</w:t>
                      </w:r>
                    </w:p>
                    <w:p w14:paraId="6BCBC957" w14:textId="77777777" w:rsidR="00AC087A" w:rsidRPr="00E30092" w:rsidRDefault="00AC087A" w:rsidP="00AC087A">
                      <w:pPr>
                        <w:pStyle w:val="ListParagraph"/>
                        <w:numPr>
                          <w:ilvl w:val="0"/>
                          <w:numId w:val="12"/>
                        </w:numPr>
                        <w:jc w:val="both"/>
                        <w:rPr>
                          <w:rFonts w:asciiTheme="majorHAnsi" w:hAnsiTheme="majorHAnsi" w:cstheme="majorHAnsi"/>
                        </w:rPr>
                      </w:pPr>
                      <w:r w:rsidRPr="00E30092">
                        <w:rPr>
                          <w:rFonts w:asciiTheme="majorHAnsi" w:hAnsiTheme="majorHAnsi" w:cstheme="majorHAnsi"/>
                        </w:rPr>
                        <w:t>TPO Abs</w:t>
                      </w:r>
                    </w:p>
                    <w:p w14:paraId="03F7FFE7" w14:textId="77777777" w:rsidR="00AC087A" w:rsidRPr="00E30092" w:rsidRDefault="00AC087A" w:rsidP="00AC087A">
                      <w:pPr>
                        <w:pStyle w:val="ListParagraph"/>
                        <w:numPr>
                          <w:ilvl w:val="0"/>
                          <w:numId w:val="12"/>
                        </w:numPr>
                        <w:jc w:val="both"/>
                        <w:rPr>
                          <w:rFonts w:asciiTheme="majorHAnsi" w:hAnsiTheme="majorHAnsi" w:cstheme="majorHAnsi"/>
                        </w:rPr>
                      </w:pPr>
                      <w:r w:rsidRPr="00E30092">
                        <w:rPr>
                          <w:rFonts w:asciiTheme="majorHAnsi" w:hAnsiTheme="majorHAnsi" w:cstheme="majorHAnsi"/>
                        </w:rPr>
                        <w:t>21-OH Abs or ACA</w:t>
                      </w:r>
                    </w:p>
                    <w:p w14:paraId="5C20E69B" w14:textId="60EC7D7D" w:rsidR="00AC087A" w:rsidRPr="00E30092" w:rsidRDefault="00AC087A" w:rsidP="00AC087A">
                      <w:pPr>
                        <w:pStyle w:val="ListParagraph"/>
                        <w:numPr>
                          <w:ilvl w:val="0"/>
                          <w:numId w:val="12"/>
                        </w:numPr>
                        <w:jc w:val="both"/>
                        <w:rPr>
                          <w:rFonts w:asciiTheme="majorHAnsi" w:hAnsiTheme="majorHAnsi" w:cstheme="majorHAnsi"/>
                        </w:rPr>
                      </w:pPr>
                      <w:r w:rsidRPr="00E30092">
                        <w:rPr>
                          <w:rFonts w:asciiTheme="majorHAnsi" w:hAnsiTheme="majorHAnsi" w:cstheme="majorHAnsi"/>
                        </w:rPr>
                        <w:t>DEXA</w:t>
                      </w:r>
                      <w:r w:rsidR="00E30092">
                        <w:rPr>
                          <w:rFonts w:asciiTheme="majorHAnsi" w:hAnsiTheme="majorHAnsi" w:cstheme="majorHAnsi"/>
                        </w:rPr>
                        <w:t xml:space="preserve"> bone mineral density scan</w:t>
                      </w:r>
                    </w:p>
                    <w:p w14:paraId="753BB028" w14:textId="77777777" w:rsidR="00AC087A" w:rsidRPr="00AC087A" w:rsidRDefault="00AC087A" w:rsidP="00AC087A">
                      <w:pPr>
                        <w:jc w:val="both"/>
                        <w:rPr>
                          <w:b/>
                          <w:bCs/>
                        </w:rPr>
                      </w:pPr>
                    </w:p>
                    <w:p w14:paraId="0DE1E54C" w14:textId="77777777" w:rsidR="00AC087A" w:rsidRPr="0093451B" w:rsidRDefault="00AC087A" w:rsidP="001533FF">
                      <w:pPr>
                        <w:pStyle w:val="Heading3"/>
                        <w:rPr>
                          <w:sz w:val="28"/>
                          <w:szCs w:val="28"/>
                        </w:rPr>
                      </w:pPr>
                      <w:r w:rsidRPr="0093451B">
                        <w:rPr>
                          <w:sz w:val="28"/>
                          <w:szCs w:val="28"/>
                        </w:rPr>
                        <w:t>Management</w:t>
                      </w:r>
                    </w:p>
                    <w:p w14:paraId="2E264457" w14:textId="77777777" w:rsidR="00AC087A" w:rsidRDefault="00AC087A" w:rsidP="00AC087A">
                      <w:pPr>
                        <w:jc w:val="both"/>
                      </w:pPr>
                    </w:p>
                    <w:p w14:paraId="0D188C22"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Lifestyle advice</w:t>
                      </w:r>
                    </w:p>
                    <w:p w14:paraId="01C4B59E"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Hormone replacement</w:t>
                      </w:r>
                    </w:p>
                    <w:p w14:paraId="727829E4"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Contraception</w:t>
                      </w:r>
                    </w:p>
                    <w:p w14:paraId="06EBF237"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Fertility</w:t>
                      </w:r>
                    </w:p>
                    <w:p w14:paraId="24B7DF0E"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Bone protection</w:t>
                      </w:r>
                    </w:p>
                    <w:p w14:paraId="3CF4E2F8" w14:textId="77777777" w:rsidR="00AC087A" w:rsidRPr="00E30092" w:rsidRDefault="00AC087A" w:rsidP="00AC087A">
                      <w:pPr>
                        <w:pStyle w:val="ListParagraph"/>
                        <w:numPr>
                          <w:ilvl w:val="0"/>
                          <w:numId w:val="11"/>
                        </w:numPr>
                        <w:jc w:val="both"/>
                        <w:rPr>
                          <w:rFonts w:asciiTheme="majorHAnsi" w:hAnsiTheme="majorHAnsi" w:cstheme="majorHAnsi"/>
                        </w:rPr>
                      </w:pPr>
                      <w:r w:rsidRPr="00E30092">
                        <w:rPr>
                          <w:rFonts w:asciiTheme="majorHAnsi" w:hAnsiTheme="majorHAnsi" w:cstheme="majorHAnsi"/>
                        </w:rPr>
                        <w:t>Psychological support</w:t>
                      </w:r>
                    </w:p>
                    <w:p w14:paraId="57372C8C" w14:textId="77777777" w:rsidR="00AC087A" w:rsidRDefault="00AC087A"/>
                  </w:txbxContent>
                </v:textbox>
                <w10:anchorlock/>
              </v:shape>
            </w:pict>
          </mc:Fallback>
        </mc:AlternateContent>
      </w:r>
      <w:r>
        <w:br w:type="page"/>
      </w:r>
    </w:p>
    <w:p w14:paraId="74378C01" w14:textId="76CE0952" w:rsidR="00106679" w:rsidRPr="00106679" w:rsidRDefault="00106679" w:rsidP="001533FF">
      <w:pPr>
        <w:pStyle w:val="Heading2"/>
      </w:pPr>
      <w:r w:rsidRPr="00106679">
        <w:lastRenderedPageBreak/>
        <w:t>REFERENCES</w:t>
      </w:r>
    </w:p>
    <w:p w14:paraId="181BEB49" w14:textId="77777777" w:rsidR="00106679" w:rsidRDefault="00106679" w:rsidP="00AD620B">
      <w:pPr>
        <w:jc w:val="both"/>
      </w:pPr>
    </w:p>
    <w:p w14:paraId="66B939BF" w14:textId="33496A49" w:rsidR="0093451B" w:rsidRDefault="0093451B" w:rsidP="0093451B">
      <w:pPr>
        <w:pStyle w:val="EndNoteBibliography"/>
        <w:numPr>
          <w:ilvl w:val="0"/>
          <w:numId w:val="18"/>
        </w:numPr>
        <w:rPr>
          <w:rFonts w:asciiTheme="majorHAnsi" w:hAnsiTheme="majorHAnsi" w:cstheme="majorHAnsi"/>
          <w:noProof/>
        </w:rPr>
      </w:pPr>
      <w:r>
        <w:rPr>
          <w:rFonts w:asciiTheme="majorHAnsi" w:hAnsiTheme="majorHAnsi" w:cstheme="majorHAnsi"/>
          <w:noProof/>
        </w:rPr>
        <w:t>ESHRE POI Guideline Development Group. Management of women with premature ovarian insufficiency. December 2015.</w:t>
      </w:r>
    </w:p>
    <w:p w14:paraId="3E89C4D9" w14:textId="3A3A3969"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rPr>
        <w:fldChar w:fldCharType="begin"/>
      </w:r>
      <w:r w:rsidRPr="0093451B">
        <w:rPr>
          <w:rFonts w:asciiTheme="majorHAnsi" w:hAnsiTheme="majorHAnsi" w:cstheme="majorHAnsi"/>
        </w:rPr>
        <w:instrText xml:space="preserve"> ADDIN EN.REFLIST </w:instrText>
      </w:r>
      <w:r w:rsidRPr="0093451B">
        <w:rPr>
          <w:rFonts w:asciiTheme="majorHAnsi" w:hAnsiTheme="majorHAnsi" w:cstheme="majorHAnsi"/>
        </w:rPr>
        <w:fldChar w:fldCharType="separate"/>
      </w:r>
      <w:r w:rsidRPr="0093451B">
        <w:rPr>
          <w:rFonts w:asciiTheme="majorHAnsi" w:hAnsiTheme="majorHAnsi" w:cstheme="majorHAnsi"/>
          <w:noProof/>
        </w:rPr>
        <w:t>Luborsky JL, Meyer P, Sowers MF, Gold EB, Santoro N. Premature menopause in a multi-ethnic population study of the menopause transition. Hum Reprod. 2003;18(1):199-206.</w:t>
      </w:r>
    </w:p>
    <w:p w14:paraId="021C3844" w14:textId="77777777" w:rsidR="0093451B" w:rsidRDefault="0093451B" w:rsidP="0093451B">
      <w:pPr>
        <w:pStyle w:val="EndNoteBibliography"/>
        <w:numPr>
          <w:ilvl w:val="0"/>
          <w:numId w:val="18"/>
        </w:numPr>
        <w:rPr>
          <w:rFonts w:asciiTheme="majorHAnsi" w:hAnsiTheme="majorHAnsi" w:cstheme="majorHAnsi"/>
          <w:noProof/>
        </w:rPr>
      </w:pPr>
      <w:r>
        <w:rPr>
          <w:rFonts w:asciiTheme="majorHAnsi" w:hAnsiTheme="majorHAnsi" w:cstheme="majorHAnsi"/>
          <w:noProof/>
        </w:rPr>
        <w:t>G</w:t>
      </w:r>
      <w:r w:rsidR="00106679" w:rsidRPr="0093451B">
        <w:rPr>
          <w:rFonts w:asciiTheme="majorHAnsi" w:hAnsiTheme="majorHAnsi" w:cstheme="majorHAnsi"/>
          <w:noProof/>
        </w:rPr>
        <w:t>old EB, Crawford SL, Avis NE. Factors related to age at natural menopause: longitudinal analyses from SWAN. Am J Epidemiol. 2013;178:70-83.</w:t>
      </w:r>
    </w:p>
    <w:p w14:paraId="1BBC1538"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Vujovic S. Aetiology of premature ovarian failure. Menopause Int. 2009;15(2):72-5.</w:t>
      </w:r>
    </w:p>
    <w:p w14:paraId="7018D78C" w14:textId="77777777" w:rsidR="0093451B" w:rsidRDefault="0093451B" w:rsidP="0093451B">
      <w:pPr>
        <w:pStyle w:val="EndNoteBibliography"/>
        <w:numPr>
          <w:ilvl w:val="0"/>
          <w:numId w:val="18"/>
        </w:numPr>
        <w:rPr>
          <w:rFonts w:asciiTheme="majorHAnsi" w:hAnsiTheme="majorHAnsi" w:cstheme="majorHAnsi"/>
          <w:noProof/>
        </w:rPr>
      </w:pPr>
      <w:r>
        <w:rPr>
          <w:rFonts w:asciiTheme="majorHAnsi" w:hAnsiTheme="majorHAnsi" w:cstheme="majorHAnsi"/>
          <w:noProof/>
        </w:rPr>
        <w:t>E</w:t>
      </w:r>
      <w:r w:rsidR="00106679" w:rsidRPr="0093451B">
        <w:rPr>
          <w:rFonts w:asciiTheme="majorHAnsi" w:hAnsiTheme="majorHAnsi" w:cstheme="majorHAnsi"/>
          <w:noProof/>
        </w:rPr>
        <w:t>uropean Society for Human R, Embryology Guideline Group on POI, Webber L, Davies M, Anderson R, Bartlett J, et al. ESHRE Guideline: management of women with premature ovarian insufficiency. Hum Reprod. 2016;31(5):926-37.</w:t>
      </w:r>
    </w:p>
    <w:p w14:paraId="71AD674D"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Wittenberger MD, Hagerman RJ, Sherman SL, McConkie-Rosell A, Welt CK, Rebar RW, et al. The FMR1 premutation and reproduction. Fertil Steril. 2007;87(3):456-65.</w:t>
      </w:r>
    </w:p>
    <w:p w14:paraId="7C853E85"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Goswami R, Marwaha RK, Goswami D, Gupta N, Ray D, Tomar N, et al. Prevalence of thyroid autoimmunity in sporadic idiopathic hypoparathyroidism in comparison to type 1 diabetes and premature ovarian failure. J Clin Endocrinol Metab. 2006;91(11):4256-9.</w:t>
      </w:r>
    </w:p>
    <w:p w14:paraId="2A01523E"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Liao KL, Wood N, Conway GS. Premature menopause and psychological well-being. J Psychosom Obstet Gynaecol. 2000;21(3):167-74.</w:t>
      </w:r>
    </w:p>
    <w:p w14:paraId="7532DF0E"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Wu X, Cai H, Kallianpur A, Li H, Yang G, Gao J, et al. Impact of premature ovarian failure on mortality and morbidity among Chinese women. PLoS One. 2014;9(3):e89597.</w:t>
      </w:r>
    </w:p>
    <w:p w14:paraId="2C5960F2"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Soares PM, Cabello C, Magna LA, Tinois E, Benetti-Pinto CL. Breast density in women with premature ovarian failure or postmenopausal women using hormone therapy: analytical cross-sectional study. Sao Paulo Med J. 2010;128(4):211-4.</w:t>
      </w:r>
    </w:p>
    <w:p w14:paraId="4D4FD7E7"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Canonico M, Plu-Bureau G, O'Sullivan MJ, Stefanick ML, Cochrane B, Scarabin PY, et al. Age at menopause, reproductive history, and venous thromboembolism risk among postmenopausal women: the Women's Health Initiative Hormone Therapy clinical trials. Menopause. 2014;21(3):214-20.</w:t>
      </w:r>
    </w:p>
    <w:p w14:paraId="0CE6DD14"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Maclaran K, Panay N. Premature ovarian failure. J Fam Plann Reprod Health Care. 2011;37(1):35-42.</w:t>
      </w:r>
    </w:p>
    <w:p w14:paraId="1514D173"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Panay N, Al-Azzawi F, Bouchard C, Davis SR, Eden J, Lodhi I, et al. Testosterone treatment of HSDD in naturally menopausal women: the ADORE study. Climacteric. 2010;13(2):121-31.</w:t>
      </w:r>
    </w:p>
    <w:p w14:paraId="2C5E9E06"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Pacello PC, Yela DA, Rabelo S, Giraldo PC, Benetti-Pinto CL. Dyspareunia and lubrication in premature ovarian failure using hormonal therapy and vaginal health. Climacteric. 2014;17(4):342-7.</w:t>
      </w:r>
    </w:p>
    <w:p w14:paraId="386C9FC6" w14:textId="77777777" w:rsid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Bidet M, Bachelot A, Bissauge E, Golmard JL, Gricourt S, Dulon J, et al. Resumption of ovarian function and pregnancies in 358 patients with premature ovarian failure. J Clin Endocrinol Metab. 2011;96(12):3864-72.</w:t>
      </w:r>
    </w:p>
    <w:p w14:paraId="7A131690" w14:textId="0EDC671E" w:rsidR="00106679" w:rsidRPr="0093451B" w:rsidRDefault="00106679" w:rsidP="0093451B">
      <w:pPr>
        <w:pStyle w:val="EndNoteBibliography"/>
        <w:numPr>
          <w:ilvl w:val="0"/>
          <w:numId w:val="18"/>
        </w:numPr>
        <w:rPr>
          <w:rFonts w:asciiTheme="majorHAnsi" w:hAnsiTheme="majorHAnsi" w:cstheme="majorHAnsi"/>
          <w:noProof/>
        </w:rPr>
      </w:pPr>
      <w:r w:rsidRPr="0093451B">
        <w:rPr>
          <w:rFonts w:asciiTheme="majorHAnsi" w:hAnsiTheme="majorHAnsi" w:cstheme="majorHAnsi"/>
          <w:noProof/>
        </w:rPr>
        <w:t>van Kasteren YM, Schoemaker J. Premature ovarian failure: a systematic review on therapeutic interventions to restore ovarian function and achieve pregnancy. Hum Reprod Update. 1999;5(5):483-92.</w:t>
      </w:r>
    </w:p>
    <w:p w14:paraId="2A5203A7" w14:textId="6C30D25F" w:rsidR="001574AF" w:rsidRDefault="00106679" w:rsidP="00106679">
      <w:pPr>
        <w:jc w:val="both"/>
      </w:pPr>
      <w:r w:rsidRPr="0093451B">
        <w:rPr>
          <w:rFonts w:asciiTheme="majorHAnsi" w:hAnsiTheme="majorHAnsi" w:cstheme="majorHAnsi"/>
        </w:rPr>
        <w:lastRenderedPageBreak/>
        <w:fldChar w:fldCharType="end"/>
      </w:r>
    </w:p>
    <w:sectPr w:rsidR="001574AF" w:rsidSect="008F1A80">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ach, Amy" w:date="2023-02-07T10:31:00Z" w:initials="RA">
    <w:p w14:paraId="73F1BB57" w14:textId="77777777" w:rsidR="008563C6" w:rsidRDefault="008563C6" w:rsidP="00E92C4B">
      <w:r>
        <w:rPr>
          <w:rStyle w:val="CommentReference"/>
        </w:rPr>
        <w:annotationRef/>
      </w:r>
      <w:r>
        <w:rPr>
          <w:sz w:val="20"/>
          <w:szCs w:val="20"/>
        </w:rPr>
        <w:t>how often are we repeated DEXA for patients with normal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F1BB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CA711" w16cex:dateUtc="2023-02-07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F1BB57" w16cid:durableId="278CA7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326"/>
    <w:multiLevelType w:val="hybridMultilevel"/>
    <w:tmpl w:val="C408E4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D5EC7"/>
    <w:multiLevelType w:val="hybridMultilevel"/>
    <w:tmpl w:val="908E2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E7947"/>
    <w:multiLevelType w:val="hybridMultilevel"/>
    <w:tmpl w:val="BE5E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56C"/>
    <w:multiLevelType w:val="hybridMultilevel"/>
    <w:tmpl w:val="D30C3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9628D"/>
    <w:multiLevelType w:val="hybridMultilevel"/>
    <w:tmpl w:val="08DC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3440D"/>
    <w:multiLevelType w:val="hybridMultilevel"/>
    <w:tmpl w:val="BD2E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65F20"/>
    <w:multiLevelType w:val="hybridMultilevel"/>
    <w:tmpl w:val="38FEC6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DA3253"/>
    <w:multiLevelType w:val="hybridMultilevel"/>
    <w:tmpl w:val="91888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E49E0"/>
    <w:multiLevelType w:val="hybridMultilevel"/>
    <w:tmpl w:val="9CB8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15C90"/>
    <w:multiLevelType w:val="hybridMultilevel"/>
    <w:tmpl w:val="30F45730"/>
    <w:lvl w:ilvl="0" w:tplc="8004A79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D6475"/>
    <w:multiLevelType w:val="hybridMultilevel"/>
    <w:tmpl w:val="7386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34C87"/>
    <w:multiLevelType w:val="hybridMultilevel"/>
    <w:tmpl w:val="50BE1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4355AB"/>
    <w:multiLevelType w:val="hybridMultilevel"/>
    <w:tmpl w:val="0FDCB5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A539DF"/>
    <w:multiLevelType w:val="hybridMultilevel"/>
    <w:tmpl w:val="A5C03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95199"/>
    <w:multiLevelType w:val="hybridMultilevel"/>
    <w:tmpl w:val="429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D3274"/>
    <w:multiLevelType w:val="hybridMultilevel"/>
    <w:tmpl w:val="9D96F730"/>
    <w:lvl w:ilvl="0" w:tplc="6436F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C6553"/>
    <w:multiLevelType w:val="hybridMultilevel"/>
    <w:tmpl w:val="B64C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EA7014"/>
    <w:multiLevelType w:val="hybridMultilevel"/>
    <w:tmpl w:val="97588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293760">
    <w:abstractNumId w:val="3"/>
  </w:num>
  <w:num w:numId="2" w16cid:durableId="90708562">
    <w:abstractNumId w:val="8"/>
  </w:num>
  <w:num w:numId="3" w16cid:durableId="1866090088">
    <w:abstractNumId w:val="1"/>
  </w:num>
  <w:num w:numId="4" w16cid:durableId="1997537295">
    <w:abstractNumId w:val="16"/>
  </w:num>
  <w:num w:numId="5" w16cid:durableId="864976207">
    <w:abstractNumId w:val="15"/>
  </w:num>
  <w:num w:numId="6" w16cid:durableId="1891723608">
    <w:abstractNumId w:val="17"/>
  </w:num>
  <w:num w:numId="7" w16cid:durableId="1897009894">
    <w:abstractNumId w:val="5"/>
  </w:num>
  <w:num w:numId="8" w16cid:durableId="1993019291">
    <w:abstractNumId w:val="14"/>
  </w:num>
  <w:num w:numId="9" w16cid:durableId="65226360">
    <w:abstractNumId w:val="7"/>
  </w:num>
  <w:num w:numId="10" w16cid:durableId="1089960381">
    <w:abstractNumId w:val="13"/>
  </w:num>
  <w:num w:numId="11" w16cid:durableId="1729960771">
    <w:abstractNumId w:val="2"/>
  </w:num>
  <w:num w:numId="12" w16cid:durableId="1993677290">
    <w:abstractNumId w:val="4"/>
  </w:num>
  <w:num w:numId="13" w16cid:durableId="780538600">
    <w:abstractNumId w:val="10"/>
  </w:num>
  <w:num w:numId="14" w16cid:durableId="536285296">
    <w:abstractNumId w:val="9"/>
  </w:num>
  <w:num w:numId="15" w16cid:durableId="1218008950">
    <w:abstractNumId w:val="12"/>
  </w:num>
  <w:num w:numId="16" w16cid:durableId="1022392993">
    <w:abstractNumId w:val="0"/>
  </w:num>
  <w:num w:numId="17" w16cid:durableId="922180091">
    <w:abstractNumId w:val="11"/>
  </w:num>
  <w:num w:numId="18" w16cid:durableId="6127098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ach, Amy">
    <w15:presenceInfo w15:providerId="AD" w15:userId="S::riach@lancaster.ac.uk::8895f820-71ab-4a07-b38e-da6dcb97d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237BF68-D74D-47CE-80C0-516AEB8FDB1F}"/>
    <w:docVar w:name="dgnword-eventsink" w:val="114512504"/>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srfev57dsasweds5xv0sz2sps02zv2v2er&quot;&gt;My EndNote Library&lt;record-ids&gt;&lt;item&gt;1&lt;/item&gt;&lt;item&gt;3&lt;/item&gt;&lt;item&gt;5&lt;/item&gt;&lt;item&gt;9&lt;/item&gt;&lt;item&gt;11&lt;/item&gt;&lt;item&gt;21&lt;/item&gt;&lt;item&gt;22&lt;/item&gt;&lt;item&gt;28&lt;/item&gt;&lt;item&gt;39&lt;/item&gt;&lt;item&gt;40&lt;/item&gt;&lt;item&gt;42&lt;/item&gt;&lt;item&gt;1271&lt;/item&gt;&lt;item&gt;1849&lt;/item&gt;&lt;item&gt;1850&lt;/item&gt;&lt;item&gt;1851&lt;/item&gt;&lt;/record-ids&gt;&lt;/item&gt;&lt;/Libraries&gt;"/>
  </w:docVars>
  <w:rsids>
    <w:rsidRoot w:val="001574AF"/>
    <w:rsid w:val="00042016"/>
    <w:rsid w:val="0004274F"/>
    <w:rsid w:val="00045B02"/>
    <w:rsid w:val="00091E1A"/>
    <w:rsid w:val="00100E35"/>
    <w:rsid w:val="00106679"/>
    <w:rsid w:val="00106B6E"/>
    <w:rsid w:val="001500EC"/>
    <w:rsid w:val="001533FF"/>
    <w:rsid w:val="001574AF"/>
    <w:rsid w:val="0017577B"/>
    <w:rsid w:val="001838F5"/>
    <w:rsid w:val="00185B4E"/>
    <w:rsid w:val="00194A1A"/>
    <w:rsid w:val="001B297C"/>
    <w:rsid w:val="002078B0"/>
    <w:rsid w:val="002611CD"/>
    <w:rsid w:val="002739A5"/>
    <w:rsid w:val="00372852"/>
    <w:rsid w:val="003D12E6"/>
    <w:rsid w:val="003E7F77"/>
    <w:rsid w:val="00481AF9"/>
    <w:rsid w:val="004C4622"/>
    <w:rsid w:val="004E2D8B"/>
    <w:rsid w:val="004F1FEF"/>
    <w:rsid w:val="005403A4"/>
    <w:rsid w:val="005676E4"/>
    <w:rsid w:val="0057487C"/>
    <w:rsid w:val="00582E2E"/>
    <w:rsid w:val="005A7917"/>
    <w:rsid w:val="005E0C58"/>
    <w:rsid w:val="00625E4F"/>
    <w:rsid w:val="0067000D"/>
    <w:rsid w:val="00675618"/>
    <w:rsid w:val="006A4D83"/>
    <w:rsid w:val="006E1A88"/>
    <w:rsid w:val="00716BDD"/>
    <w:rsid w:val="00754279"/>
    <w:rsid w:val="0077437C"/>
    <w:rsid w:val="00784286"/>
    <w:rsid w:val="008066D2"/>
    <w:rsid w:val="00823610"/>
    <w:rsid w:val="0083003D"/>
    <w:rsid w:val="008563C6"/>
    <w:rsid w:val="00856B30"/>
    <w:rsid w:val="008F1A80"/>
    <w:rsid w:val="0091199E"/>
    <w:rsid w:val="0093451B"/>
    <w:rsid w:val="00A37B55"/>
    <w:rsid w:val="00A732D9"/>
    <w:rsid w:val="00AC087A"/>
    <w:rsid w:val="00AC546C"/>
    <w:rsid w:val="00AD620B"/>
    <w:rsid w:val="00B0076C"/>
    <w:rsid w:val="00B45706"/>
    <w:rsid w:val="00B63071"/>
    <w:rsid w:val="00B63E9A"/>
    <w:rsid w:val="00B80F06"/>
    <w:rsid w:val="00B91559"/>
    <w:rsid w:val="00BA66A1"/>
    <w:rsid w:val="00C137E7"/>
    <w:rsid w:val="00C33BE3"/>
    <w:rsid w:val="00C825A2"/>
    <w:rsid w:val="00CF35D0"/>
    <w:rsid w:val="00CF5DC5"/>
    <w:rsid w:val="00D82AAA"/>
    <w:rsid w:val="00DC0FF7"/>
    <w:rsid w:val="00DF021E"/>
    <w:rsid w:val="00E16BB5"/>
    <w:rsid w:val="00E20737"/>
    <w:rsid w:val="00E30092"/>
    <w:rsid w:val="00E84078"/>
    <w:rsid w:val="00EB6327"/>
    <w:rsid w:val="00EC2B37"/>
    <w:rsid w:val="00EE421D"/>
    <w:rsid w:val="00F25443"/>
    <w:rsid w:val="00F562FB"/>
    <w:rsid w:val="00F71DB0"/>
    <w:rsid w:val="00FA54AB"/>
    <w:rsid w:val="00FC3D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CC46D"/>
  <w14:defaultImageDpi w14:val="300"/>
  <w15:docId w15:val="{5225EEF9-074A-0246-968D-E153E791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3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33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533F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87C"/>
    <w:pPr>
      <w:ind w:left="720"/>
      <w:contextualSpacing/>
    </w:pPr>
  </w:style>
  <w:style w:type="table" w:styleId="TableGrid">
    <w:name w:val="Table Grid"/>
    <w:basedOn w:val="TableNormal"/>
    <w:uiPriority w:val="59"/>
    <w:rsid w:val="00F71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3A4"/>
    <w:rPr>
      <w:color w:val="0000FF" w:themeColor="hyperlink"/>
      <w:u w:val="single"/>
    </w:rPr>
  </w:style>
  <w:style w:type="paragraph" w:customStyle="1" w:styleId="EndNoteBibliographyTitle">
    <w:name w:val="EndNote Bibliography Title"/>
    <w:basedOn w:val="Normal"/>
    <w:link w:val="EndNoteBibliographyTitleChar"/>
    <w:rsid w:val="00106679"/>
    <w:pPr>
      <w:jc w:val="center"/>
    </w:pPr>
    <w:rPr>
      <w:rFonts w:ascii="Cambria" w:hAnsi="Cambria"/>
      <w:lang w:val="en-US"/>
    </w:rPr>
  </w:style>
  <w:style w:type="character" w:customStyle="1" w:styleId="EndNoteBibliographyTitleChar">
    <w:name w:val="EndNote Bibliography Title Char"/>
    <w:basedOn w:val="DefaultParagraphFont"/>
    <w:link w:val="EndNoteBibliographyTitle"/>
    <w:rsid w:val="00106679"/>
    <w:rPr>
      <w:rFonts w:ascii="Cambria" w:hAnsi="Cambria"/>
      <w:lang w:val="en-US"/>
    </w:rPr>
  </w:style>
  <w:style w:type="paragraph" w:customStyle="1" w:styleId="EndNoteBibliography">
    <w:name w:val="EndNote Bibliography"/>
    <w:basedOn w:val="Normal"/>
    <w:link w:val="EndNoteBibliographyChar"/>
    <w:rsid w:val="00106679"/>
    <w:pPr>
      <w:jc w:val="both"/>
    </w:pPr>
    <w:rPr>
      <w:rFonts w:ascii="Cambria" w:hAnsi="Cambria"/>
      <w:lang w:val="en-US"/>
    </w:rPr>
  </w:style>
  <w:style w:type="character" w:customStyle="1" w:styleId="EndNoteBibliographyChar">
    <w:name w:val="EndNote Bibliography Char"/>
    <w:basedOn w:val="DefaultParagraphFont"/>
    <w:link w:val="EndNoteBibliography"/>
    <w:rsid w:val="00106679"/>
    <w:rPr>
      <w:rFonts w:ascii="Cambria" w:hAnsi="Cambria"/>
      <w:lang w:val="en-US"/>
    </w:rPr>
  </w:style>
  <w:style w:type="paragraph" w:styleId="BalloonText">
    <w:name w:val="Balloon Text"/>
    <w:basedOn w:val="Normal"/>
    <w:link w:val="BalloonTextChar"/>
    <w:uiPriority w:val="99"/>
    <w:semiHidden/>
    <w:unhideWhenUsed/>
    <w:rsid w:val="00675618"/>
    <w:rPr>
      <w:rFonts w:ascii="Tahoma" w:hAnsi="Tahoma" w:cs="Tahoma"/>
      <w:sz w:val="16"/>
      <w:szCs w:val="16"/>
    </w:rPr>
  </w:style>
  <w:style w:type="character" w:customStyle="1" w:styleId="BalloonTextChar">
    <w:name w:val="Balloon Text Char"/>
    <w:basedOn w:val="DefaultParagraphFont"/>
    <w:link w:val="BalloonText"/>
    <w:uiPriority w:val="99"/>
    <w:semiHidden/>
    <w:rsid w:val="00675618"/>
    <w:rPr>
      <w:rFonts w:ascii="Tahoma" w:hAnsi="Tahoma" w:cs="Tahoma"/>
      <w:sz w:val="16"/>
      <w:szCs w:val="16"/>
    </w:rPr>
  </w:style>
  <w:style w:type="paragraph" w:styleId="Revision">
    <w:name w:val="Revision"/>
    <w:hidden/>
    <w:uiPriority w:val="99"/>
    <w:semiHidden/>
    <w:rsid w:val="00FC3DFC"/>
  </w:style>
  <w:style w:type="character" w:styleId="CommentReference">
    <w:name w:val="annotation reference"/>
    <w:basedOn w:val="DefaultParagraphFont"/>
    <w:uiPriority w:val="99"/>
    <w:semiHidden/>
    <w:unhideWhenUsed/>
    <w:rsid w:val="008563C6"/>
    <w:rPr>
      <w:sz w:val="16"/>
      <w:szCs w:val="16"/>
    </w:rPr>
  </w:style>
  <w:style w:type="paragraph" w:styleId="CommentText">
    <w:name w:val="annotation text"/>
    <w:basedOn w:val="Normal"/>
    <w:link w:val="CommentTextChar"/>
    <w:uiPriority w:val="99"/>
    <w:semiHidden/>
    <w:unhideWhenUsed/>
    <w:rsid w:val="008563C6"/>
    <w:rPr>
      <w:sz w:val="20"/>
      <w:szCs w:val="20"/>
    </w:rPr>
  </w:style>
  <w:style w:type="character" w:customStyle="1" w:styleId="CommentTextChar">
    <w:name w:val="Comment Text Char"/>
    <w:basedOn w:val="DefaultParagraphFont"/>
    <w:link w:val="CommentText"/>
    <w:uiPriority w:val="99"/>
    <w:semiHidden/>
    <w:rsid w:val="008563C6"/>
    <w:rPr>
      <w:sz w:val="20"/>
      <w:szCs w:val="20"/>
    </w:rPr>
  </w:style>
  <w:style w:type="paragraph" w:styleId="CommentSubject">
    <w:name w:val="annotation subject"/>
    <w:basedOn w:val="CommentText"/>
    <w:next w:val="CommentText"/>
    <w:link w:val="CommentSubjectChar"/>
    <w:uiPriority w:val="99"/>
    <w:semiHidden/>
    <w:unhideWhenUsed/>
    <w:rsid w:val="008563C6"/>
    <w:rPr>
      <w:b/>
      <w:bCs/>
    </w:rPr>
  </w:style>
  <w:style w:type="character" w:customStyle="1" w:styleId="CommentSubjectChar">
    <w:name w:val="Comment Subject Char"/>
    <w:basedOn w:val="CommentTextChar"/>
    <w:link w:val="CommentSubject"/>
    <w:uiPriority w:val="99"/>
    <w:semiHidden/>
    <w:rsid w:val="008563C6"/>
    <w:rPr>
      <w:b/>
      <w:bCs/>
      <w:sz w:val="20"/>
      <w:szCs w:val="20"/>
    </w:rPr>
  </w:style>
  <w:style w:type="character" w:styleId="FollowedHyperlink">
    <w:name w:val="FollowedHyperlink"/>
    <w:basedOn w:val="DefaultParagraphFont"/>
    <w:uiPriority w:val="99"/>
    <w:semiHidden/>
    <w:unhideWhenUsed/>
    <w:rsid w:val="00372852"/>
    <w:rPr>
      <w:color w:val="800080" w:themeColor="followedHyperlink"/>
      <w:u w:val="single"/>
    </w:rPr>
  </w:style>
  <w:style w:type="character" w:styleId="UnresolvedMention">
    <w:name w:val="Unresolved Mention"/>
    <w:basedOn w:val="DefaultParagraphFont"/>
    <w:uiPriority w:val="99"/>
    <w:semiHidden/>
    <w:unhideWhenUsed/>
    <w:rsid w:val="00372852"/>
    <w:rPr>
      <w:color w:val="605E5C"/>
      <w:shd w:val="clear" w:color="auto" w:fill="E1DFDD"/>
    </w:rPr>
  </w:style>
  <w:style w:type="character" w:customStyle="1" w:styleId="Heading1Char">
    <w:name w:val="Heading 1 Char"/>
    <w:basedOn w:val="DefaultParagraphFont"/>
    <w:link w:val="Heading1"/>
    <w:uiPriority w:val="9"/>
    <w:rsid w:val="001533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533F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533F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fsrh.org/standards-and-guidance/uk-medical-eligibility-criteria-for-contraceptive-use-ukmec/" TargetMode="External"/><Relationship Id="rId5" Type="http://schemas.openxmlformats.org/officeDocument/2006/relationships/webSettings" Target="webSettings.xml"/><Relationship Id="rId10" Type="http://schemas.openxmlformats.org/officeDocument/2006/relationships/hyperlink" Target="https://nww.lhp.leedsth.nhs.uk/common/guidelines/detail.aspx?ID=4117"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F1B6-2B59-644A-9FD2-1CDB69B2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Phillips</dc:creator>
  <cp:lastModifiedBy>CHURCHILL, Jessie Helen (LEEDS TEACHING HOSPITALS NHS TRUST)</cp:lastModifiedBy>
  <cp:revision>3</cp:revision>
  <dcterms:created xsi:type="dcterms:W3CDTF">2023-03-16T13:47:00Z</dcterms:created>
  <dcterms:modified xsi:type="dcterms:W3CDTF">2024-03-22T10:47:00Z</dcterms:modified>
</cp:coreProperties>
</file>