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D459" w14:textId="77777777" w:rsidR="007B1052" w:rsidRPr="00CF30E3" w:rsidRDefault="0064490D" w:rsidP="007B1052">
      <w:pPr>
        <w:spacing w:before="200" w:after="200"/>
        <w:outlineLvl w:val="0"/>
        <w:rPr>
          <w:rFonts w:eastAsia="Times New Roman"/>
          <w:b/>
          <w:bCs/>
          <w:sz w:val="28"/>
          <w:szCs w:val="28"/>
          <w:lang w:eastAsia="en-GB"/>
        </w:rPr>
      </w:pPr>
      <w:r w:rsidRPr="00CF30E3">
        <w:rPr>
          <w:rFonts w:eastAsia="Times New Roman"/>
          <w:b/>
          <w:bCs/>
          <w:noProof/>
          <w:sz w:val="28"/>
          <w:szCs w:val="28"/>
          <w:lang w:eastAsia="en-GB"/>
        </w:rPr>
        <w:drawing>
          <wp:anchor distT="0" distB="0" distL="114300" distR="114300" simplePos="0" relativeHeight="251659264" behindDoc="1" locked="0" layoutInCell="1" allowOverlap="1" wp14:anchorId="4B8CE15D" wp14:editId="76AE8832">
            <wp:simplePos x="0" y="0"/>
            <wp:positionH relativeFrom="column">
              <wp:posOffset>4420235</wp:posOffset>
            </wp:positionH>
            <wp:positionV relativeFrom="paragraph">
              <wp:posOffset>-456565</wp:posOffset>
            </wp:positionV>
            <wp:extent cx="1773263" cy="904875"/>
            <wp:effectExtent l="0" t="0" r="0" b="0"/>
            <wp:wrapNone/>
            <wp:docPr id="38" name="Picture 38" descr="G:\Policy Approval December 13\Templates\LTHT NHS logo v2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olicy Approval December 13\Templates\LTHT NHS logo v2 20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3263"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744F5" w14:textId="77777777" w:rsidR="007B1052" w:rsidRPr="00CF30E3" w:rsidRDefault="007B1052" w:rsidP="007B1052">
      <w:pPr>
        <w:spacing w:before="200" w:after="200"/>
        <w:outlineLvl w:val="0"/>
        <w:rPr>
          <w:rFonts w:eastAsia="Times New Roman"/>
          <w:b/>
          <w:bCs/>
          <w:sz w:val="28"/>
          <w:szCs w:val="28"/>
          <w:lang w:eastAsia="en-GB"/>
        </w:rPr>
      </w:pPr>
    </w:p>
    <w:p w14:paraId="38FD30B0" w14:textId="77777777" w:rsidR="00A271BB" w:rsidRDefault="00A53B3C" w:rsidP="00A53B3C">
      <w:pPr>
        <w:jc w:val="center"/>
        <w:rPr>
          <w:b/>
        </w:rPr>
      </w:pPr>
      <w:r w:rsidRPr="00732AD4">
        <w:rPr>
          <w:b/>
        </w:rPr>
        <w:t>LTHT Infection Control Policies</w:t>
      </w:r>
    </w:p>
    <w:p w14:paraId="6441A6ED" w14:textId="77777777" w:rsidR="00A271BB" w:rsidRDefault="00A271BB" w:rsidP="00A53B3C">
      <w:pPr>
        <w:jc w:val="center"/>
        <w:rPr>
          <w:b/>
        </w:rPr>
      </w:pPr>
    </w:p>
    <w:p w14:paraId="45ADCDE1" w14:textId="77777777" w:rsidR="00A53B3C" w:rsidRPr="00732AD4" w:rsidRDefault="00A53B3C" w:rsidP="00A53B3C">
      <w:pPr>
        <w:jc w:val="center"/>
        <w:rPr>
          <w:b/>
          <w:bCs/>
        </w:rPr>
      </w:pPr>
      <w:r w:rsidRPr="00732AD4">
        <w:rPr>
          <w:b/>
        </w:rPr>
        <w:t>INFECTION PREVENTION AND CONTROL POLICY</w:t>
      </w:r>
    </w:p>
    <w:p w14:paraId="37C00D47" w14:textId="77777777" w:rsidR="00A271BB" w:rsidRDefault="00A53B3C" w:rsidP="00A271BB">
      <w:pPr>
        <w:spacing w:before="100" w:beforeAutospacing="1" w:after="100" w:afterAutospacing="1"/>
        <w:jc w:val="center"/>
        <w:rPr>
          <w:i/>
          <w:iCs/>
        </w:rPr>
      </w:pPr>
      <w:r w:rsidRPr="0075390F">
        <w:t>Managing the</w:t>
      </w:r>
      <w:r>
        <w:t xml:space="preserve"> R</w:t>
      </w:r>
      <w:r w:rsidRPr="0075390F">
        <w:t xml:space="preserve">isks </w:t>
      </w:r>
      <w:r>
        <w:t>A</w:t>
      </w:r>
      <w:r w:rsidRPr="0075390F">
        <w:t xml:space="preserve">ssociated with </w:t>
      </w:r>
      <w:r>
        <w:t>I</w:t>
      </w:r>
      <w:r w:rsidRPr="0075390F">
        <w:t xml:space="preserve">nfection </w:t>
      </w:r>
      <w:r>
        <w:t>P</w:t>
      </w:r>
      <w:r w:rsidRPr="0075390F">
        <w:t xml:space="preserve">revention and </w:t>
      </w:r>
      <w:r>
        <w:t>C</w:t>
      </w:r>
      <w:r w:rsidRPr="0075390F">
        <w:t>ontrol</w:t>
      </w:r>
      <w:r>
        <w:rPr>
          <w:i/>
          <w:iCs/>
        </w:rPr>
        <w:t xml:space="preserve">     </w:t>
      </w:r>
    </w:p>
    <w:p w14:paraId="5DCA1CC8" w14:textId="77777777" w:rsidR="00A271BB" w:rsidRDefault="00A53B3C" w:rsidP="00A271BB">
      <w:pPr>
        <w:spacing w:before="100" w:beforeAutospacing="1" w:after="100" w:afterAutospacing="1"/>
        <w:jc w:val="center"/>
      </w:pPr>
      <w:r w:rsidRPr="00A271BB">
        <w:t>S</w:t>
      </w:r>
      <w:r w:rsidRPr="00A271BB">
        <w:rPr>
          <w:rFonts w:hint="eastAsia"/>
        </w:rPr>
        <w:t xml:space="preserve">trategy for controlling, </w:t>
      </w:r>
      <w:r w:rsidR="00A271BB" w:rsidRPr="00A271BB">
        <w:t>monitoring,</w:t>
      </w:r>
      <w:r w:rsidRPr="00A271BB">
        <w:rPr>
          <w:rFonts w:hint="eastAsia"/>
        </w:rPr>
        <w:t xml:space="preserve"> and reporting</w:t>
      </w:r>
    </w:p>
    <w:p w14:paraId="2DBF0324" w14:textId="77777777" w:rsidR="00A53B3C" w:rsidRPr="00A271BB" w:rsidRDefault="00A53B3C" w:rsidP="00A271BB">
      <w:pPr>
        <w:spacing w:before="100" w:beforeAutospacing="1" w:after="100" w:afterAutospacing="1"/>
        <w:jc w:val="center"/>
      </w:pPr>
      <w:r w:rsidRPr="00A271BB">
        <w:rPr>
          <w:rFonts w:hint="eastAsia"/>
        </w:rPr>
        <w:t>on H</w:t>
      </w:r>
      <w:r w:rsidR="00A271BB">
        <w:t>ealthcare Associated Infection (HCAI)</w:t>
      </w:r>
    </w:p>
    <w:p w14:paraId="13E857CB" w14:textId="77777777" w:rsidR="0054534D" w:rsidRPr="00CF30E3" w:rsidRDefault="0054534D" w:rsidP="0054534D">
      <w:pPr>
        <w:autoSpaceDE w:val="0"/>
        <w:autoSpaceDN w:val="0"/>
        <w:adjustRightInd w:val="0"/>
        <w:rPr>
          <w:rFonts w:eastAsiaTheme="minorHAnsi"/>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305"/>
        <w:gridCol w:w="2254"/>
        <w:gridCol w:w="2269"/>
      </w:tblGrid>
      <w:tr w:rsidR="00D45FE7" w:rsidRPr="00CF30E3" w14:paraId="0D457C19" w14:textId="77777777" w:rsidTr="0054534D">
        <w:tc>
          <w:tcPr>
            <w:tcW w:w="2126" w:type="dxa"/>
          </w:tcPr>
          <w:p w14:paraId="537CC6CF" w14:textId="77777777" w:rsidR="0054534D" w:rsidRPr="00CF30E3" w:rsidRDefault="0054534D" w:rsidP="007B1052">
            <w:pPr>
              <w:spacing w:before="40" w:after="40"/>
              <w:rPr>
                <w:rFonts w:eastAsia="Times New Roman"/>
                <w:bCs/>
                <w:sz w:val="22"/>
                <w:szCs w:val="24"/>
                <w:lang w:eastAsia="en-GB"/>
              </w:rPr>
            </w:pPr>
            <w:r w:rsidRPr="00CF30E3">
              <w:rPr>
                <w:rFonts w:eastAsia="Times New Roman"/>
                <w:sz w:val="22"/>
                <w:szCs w:val="24"/>
                <w:lang w:eastAsia="en-GB"/>
              </w:rPr>
              <w:t>Hub reference:</w:t>
            </w:r>
          </w:p>
        </w:tc>
        <w:tc>
          <w:tcPr>
            <w:tcW w:w="2376" w:type="dxa"/>
          </w:tcPr>
          <w:p w14:paraId="74E3D8A6" w14:textId="77777777" w:rsidR="0054534D" w:rsidRPr="00CF30E3" w:rsidRDefault="00A53B3C" w:rsidP="007B1052">
            <w:pPr>
              <w:spacing w:before="40" w:after="40"/>
              <w:rPr>
                <w:rFonts w:eastAsia="Times New Roman"/>
                <w:bCs/>
                <w:i/>
                <w:sz w:val="22"/>
                <w:szCs w:val="22"/>
                <w:lang w:eastAsia="en-GB"/>
              </w:rPr>
            </w:pPr>
            <w:r>
              <w:t>PC013</w:t>
            </w:r>
          </w:p>
        </w:tc>
        <w:tc>
          <w:tcPr>
            <w:tcW w:w="2316" w:type="dxa"/>
          </w:tcPr>
          <w:p w14:paraId="63FB5642" w14:textId="77777777" w:rsidR="0054534D" w:rsidRPr="00CF30E3" w:rsidRDefault="0054534D" w:rsidP="007B1052">
            <w:pPr>
              <w:spacing w:before="40" w:after="40"/>
              <w:rPr>
                <w:rFonts w:eastAsia="Times New Roman"/>
                <w:bCs/>
                <w:sz w:val="22"/>
                <w:szCs w:val="22"/>
                <w:lang w:eastAsia="en-GB"/>
              </w:rPr>
            </w:pPr>
            <w:r w:rsidRPr="00CF30E3">
              <w:rPr>
                <w:rFonts w:eastAsia="Times New Roman"/>
                <w:sz w:val="22"/>
                <w:szCs w:val="22"/>
                <w:lang w:eastAsia="en-GB"/>
              </w:rPr>
              <w:t xml:space="preserve">Policy </w:t>
            </w:r>
            <w:r w:rsidR="00A271BB" w:rsidRPr="00CF30E3">
              <w:rPr>
                <w:rFonts w:eastAsia="Times New Roman"/>
                <w:sz w:val="22"/>
                <w:szCs w:val="22"/>
                <w:lang w:eastAsia="en-GB"/>
              </w:rPr>
              <w:t>Le</w:t>
            </w:r>
            <w:r w:rsidR="00A271BB">
              <w:rPr>
                <w:rFonts w:eastAsia="Times New Roman"/>
                <w:sz w:val="22"/>
                <w:szCs w:val="22"/>
                <w:lang w:eastAsia="en-GB"/>
              </w:rPr>
              <w:t>a</w:t>
            </w:r>
            <w:r w:rsidR="00A271BB" w:rsidRPr="00CF30E3">
              <w:rPr>
                <w:rFonts w:eastAsia="Times New Roman"/>
                <w:sz w:val="22"/>
                <w:szCs w:val="22"/>
                <w:lang w:eastAsia="en-GB"/>
              </w:rPr>
              <w:t>d</w:t>
            </w:r>
            <w:r w:rsidR="00D45FE7">
              <w:rPr>
                <w:rFonts w:eastAsia="Times New Roman"/>
                <w:sz w:val="22"/>
                <w:szCs w:val="22"/>
                <w:lang w:eastAsia="en-GB"/>
              </w:rPr>
              <w:t>:</w:t>
            </w:r>
          </w:p>
        </w:tc>
        <w:tc>
          <w:tcPr>
            <w:tcW w:w="2316" w:type="dxa"/>
          </w:tcPr>
          <w:p w14:paraId="3C2908DB" w14:textId="77777777" w:rsidR="0054534D" w:rsidRPr="00A271BB" w:rsidRDefault="00A53B3C" w:rsidP="007B1052">
            <w:pPr>
              <w:spacing w:before="40" w:after="40"/>
              <w:rPr>
                <w:rFonts w:eastAsia="Times New Roman"/>
                <w:bCs/>
                <w:i/>
                <w:sz w:val="22"/>
                <w:szCs w:val="22"/>
                <w:lang w:eastAsia="en-GB"/>
              </w:rPr>
            </w:pPr>
            <w:r w:rsidRPr="00A271BB">
              <w:rPr>
                <w:sz w:val="22"/>
                <w:szCs w:val="22"/>
              </w:rPr>
              <w:t>Gillian Hodgson, Deputy D</w:t>
            </w:r>
            <w:r w:rsidR="00A271BB">
              <w:rPr>
                <w:sz w:val="22"/>
                <w:szCs w:val="22"/>
              </w:rPr>
              <w:t xml:space="preserve">irector of </w:t>
            </w:r>
            <w:r w:rsidRPr="00A271BB">
              <w:rPr>
                <w:sz w:val="22"/>
                <w:szCs w:val="22"/>
              </w:rPr>
              <w:t>Infection Prevention and Control</w:t>
            </w:r>
            <w:r w:rsidR="00A271BB">
              <w:rPr>
                <w:sz w:val="22"/>
                <w:szCs w:val="22"/>
              </w:rPr>
              <w:t xml:space="preserve"> (DDIPC)</w:t>
            </w:r>
          </w:p>
        </w:tc>
      </w:tr>
      <w:tr w:rsidR="00D45FE7" w:rsidRPr="00CF30E3" w14:paraId="4216ABB0" w14:textId="77777777" w:rsidTr="0054534D">
        <w:tc>
          <w:tcPr>
            <w:tcW w:w="2126" w:type="dxa"/>
          </w:tcPr>
          <w:p w14:paraId="3DB689F3" w14:textId="77777777" w:rsidR="0054534D" w:rsidRPr="00CF30E3" w:rsidRDefault="0054534D" w:rsidP="007B1052">
            <w:pPr>
              <w:spacing w:before="40" w:after="40"/>
              <w:rPr>
                <w:rFonts w:eastAsia="Times New Roman"/>
                <w:bCs/>
                <w:sz w:val="22"/>
                <w:szCs w:val="24"/>
                <w:lang w:eastAsia="en-GB"/>
              </w:rPr>
            </w:pPr>
            <w:r w:rsidRPr="00CF30E3">
              <w:rPr>
                <w:rFonts w:eastAsia="Times New Roman"/>
                <w:sz w:val="22"/>
                <w:szCs w:val="24"/>
                <w:lang w:eastAsia="en-GB"/>
              </w:rPr>
              <w:t>Version:</w:t>
            </w:r>
          </w:p>
        </w:tc>
        <w:tc>
          <w:tcPr>
            <w:tcW w:w="2376" w:type="dxa"/>
          </w:tcPr>
          <w:p w14:paraId="1ED6F1F7" w14:textId="77777777" w:rsidR="0054534D" w:rsidRPr="00A53B3C" w:rsidRDefault="00BC61D9" w:rsidP="007B1052">
            <w:pPr>
              <w:spacing w:before="40" w:after="40"/>
              <w:rPr>
                <w:rFonts w:eastAsia="Times New Roman"/>
                <w:bCs/>
                <w:i/>
                <w:sz w:val="22"/>
                <w:szCs w:val="22"/>
                <w:lang w:eastAsia="en-GB"/>
              </w:rPr>
            </w:pPr>
            <w:r>
              <w:rPr>
                <w:rFonts w:eastAsia="Times New Roman"/>
                <w:i/>
                <w:sz w:val="22"/>
                <w:szCs w:val="22"/>
                <w:lang w:eastAsia="en-GB"/>
              </w:rPr>
              <w:t xml:space="preserve"> </w:t>
            </w:r>
            <w:r w:rsidR="00F3217E">
              <w:rPr>
                <w:rFonts w:eastAsia="Times New Roman"/>
                <w:i/>
                <w:sz w:val="22"/>
                <w:szCs w:val="22"/>
                <w:lang w:eastAsia="en-GB"/>
              </w:rPr>
              <w:t>8</w:t>
            </w:r>
          </w:p>
        </w:tc>
        <w:tc>
          <w:tcPr>
            <w:tcW w:w="2316" w:type="dxa"/>
          </w:tcPr>
          <w:p w14:paraId="370D5D88" w14:textId="77777777" w:rsidR="0054534D" w:rsidRPr="00CF30E3" w:rsidRDefault="0054534D" w:rsidP="007B1052">
            <w:pPr>
              <w:spacing w:before="40" w:after="40"/>
              <w:rPr>
                <w:rFonts w:eastAsia="Times New Roman"/>
                <w:bCs/>
                <w:sz w:val="22"/>
                <w:szCs w:val="22"/>
                <w:lang w:eastAsia="en-GB"/>
              </w:rPr>
            </w:pPr>
            <w:r w:rsidRPr="00CF30E3">
              <w:rPr>
                <w:rFonts w:eastAsia="Times New Roman"/>
                <w:sz w:val="22"/>
                <w:szCs w:val="22"/>
                <w:lang w:eastAsia="en-GB"/>
              </w:rPr>
              <w:t>Policy Author</w:t>
            </w:r>
            <w:r w:rsidR="00D45FE7">
              <w:rPr>
                <w:rFonts w:eastAsia="Times New Roman"/>
                <w:sz w:val="22"/>
                <w:szCs w:val="22"/>
                <w:lang w:eastAsia="en-GB"/>
              </w:rPr>
              <w:t>:</w:t>
            </w:r>
            <w:r w:rsidRPr="00CF30E3">
              <w:rPr>
                <w:rFonts w:eastAsia="Times New Roman"/>
                <w:sz w:val="22"/>
                <w:szCs w:val="22"/>
                <w:lang w:eastAsia="en-GB"/>
              </w:rPr>
              <w:t xml:space="preserve"> </w:t>
            </w:r>
          </w:p>
        </w:tc>
        <w:tc>
          <w:tcPr>
            <w:tcW w:w="2316" w:type="dxa"/>
          </w:tcPr>
          <w:p w14:paraId="16CA0B37" w14:textId="77777777" w:rsidR="00A271BB" w:rsidRPr="00A271BB" w:rsidRDefault="00A271BB" w:rsidP="007B1052">
            <w:pPr>
              <w:spacing w:before="40" w:after="40"/>
              <w:rPr>
                <w:rFonts w:eastAsia="Times New Roman"/>
                <w:bCs/>
                <w:iCs/>
                <w:sz w:val="22"/>
                <w:szCs w:val="22"/>
                <w:lang w:eastAsia="en-GB"/>
              </w:rPr>
            </w:pPr>
            <w:r w:rsidRPr="00A271BB">
              <w:rPr>
                <w:sz w:val="22"/>
                <w:szCs w:val="22"/>
              </w:rPr>
              <w:t>Louise Lowry, Matron, Infection Prevention and Control</w:t>
            </w:r>
            <w:r>
              <w:rPr>
                <w:sz w:val="22"/>
                <w:szCs w:val="22"/>
              </w:rPr>
              <w:t xml:space="preserve"> (IPC) </w:t>
            </w:r>
          </w:p>
          <w:p w14:paraId="601D0A88" w14:textId="77777777" w:rsidR="00A271BB" w:rsidRPr="00A271BB" w:rsidRDefault="00A271BB" w:rsidP="007B1052">
            <w:pPr>
              <w:spacing w:before="40" w:after="40"/>
              <w:rPr>
                <w:rFonts w:eastAsia="Times New Roman"/>
                <w:bCs/>
                <w:iCs/>
                <w:sz w:val="22"/>
                <w:szCs w:val="22"/>
                <w:lang w:eastAsia="en-GB"/>
              </w:rPr>
            </w:pPr>
            <w:r w:rsidRPr="00A271BB">
              <w:rPr>
                <w:rFonts w:eastAsia="Times New Roman"/>
                <w:iCs/>
                <w:sz w:val="22"/>
                <w:szCs w:val="22"/>
                <w:lang w:eastAsia="en-GB"/>
              </w:rPr>
              <w:t xml:space="preserve">Jessica Martin </w:t>
            </w:r>
            <w:r>
              <w:rPr>
                <w:rFonts w:eastAsia="Times New Roman"/>
                <w:iCs/>
                <w:sz w:val="22"/>
                <w:szCs w:val="22"/>
                <w:lang w:eastAsia="en-GB"/>
              </w:rPr>
              <w:t>M</w:t>
            </w:r>
            <w:r w:rsidRPr="00A271BB">
              <w:rPr>
                <w:rFonts w:eastAsia="Times New Roman"/>
                <w:iCs/>
                <w:sz w:val="22"/>
                <w:szCs w:val="22"/>
                <w:lang w:eastAsia="en-GB"/>
              </w:rPr>
              <w:t xml:space="preserve">edical lead Infection Prevention and Control </w:t>
            </w:r>
          </w:p>
          <w:p w14:paraId="5529DD2B" w14:textId="77777777" w:rsidR="00A271BB" w:rsidRPr="00A271BB" w:rsidRDefault="00BC61D9" w:rsidP="007B1052">
            <w:pPr>
              <w:spacing w:before="40" w:after="40"/>
              <w:rPr>
                <w:rFonts w:eastAsia="Times New Roman"/>
                <w:bCs/>
                <w:iCs/>
                <w:sz w:val="22"/>
                <w:szCs w:val="22"/>
                <w:lang w:eastAsia="en-GB"/>
              </w:rPr>
            </w:pPr>
            <w:r>
              <w:rPr>
                <w:rFonts w:eastAsia="Times New Roman"/>
                <w:iCs/>
                <w:sz w:val="22"/>
                <w:szCs w:val="22"/>
                <w:lang w:eastAsia="en-GB"/>
              </w:rPr>
              <w:t xml:space="preserve">Charlie Lobley Deputy Head of Nursing IPC </w:t>
            </w:r>
          </w:p>
        </w:tc>
      </w:tr>
      <w:tr w:rsidR="00D45FE7" w:rsidRPr="00CF30E3" w14:paraId="199988A3" w14:textId="77777777" w:rsidTr="0054534D">
        <w:tc>
          <w:tcPr>
            <w:tcW w:w="2126" w:type="dxa"/>
          </w:tcPr>
          <w:p w14:paraId="7AC55C72" w14:textId="77777777" w:rsidR="0054534D" w:rsidRPr="00CF30E3" w:rsidRDefault="0054534D" w:rsidP="007B1052">
            <w:pPr>
              <w:spacing w:before="40" w:after="40"/>
              <w:rPr>
                <w:rFonts w:eastAsia="Times New Roman"/>
                <w:bCs/>
                <w:sz w:val="22"/>
                <w:szCs w:val="24"/>
                <w:lang w:eastAsia="en-GB"/>
              </w:rPr>
            </w:pPr>
            <w:r w:rsidRPr="00CF30E3">
              <w:rPr>
                <w:rFonts w:eastAsia="Times New Roman"/>
                <w:sz w:val="22"/>
                <w:szCs w:val="24"/>
                <w:lang w:eastAsia="en-GB"/>
              </w:rPr>
              <w:t>Approved by:</w:t>
            </w:r>
          </w:p>
        </w:tc>
        <w:tc>
          <w:tcPr>
            <w:tcW w:w="2376" w:type="dxa"/>
          </w:tcPr>
          <w:p w14:paraId="007875A2" w14:textId="77777777" w:rsidR="0054534D" w:rsidRPr="00CF30E3" w:rsidRDefault="0054534D" w:rsidP="007B1052">
            <w:pPr>
              <w:spacing w:before="40" w:after="40"/>
              <w:rPr>
                <w:rFonts w:eastAsia="Times New Roman"/>
                <w:bCs/>
                <w:sz w:val="22"/>
                <w:szCs w:val="22"/>
                <w:lang w:eastAsia="en-GB"/>
              </w:rPr>
            </w:pPr>
            <w:r w:rsidRPr="00CF30E3">
              <w:rPr>
                <w:rFonts w:eastAsia="Times New Roman"/>
                <w:sz w:val="22"/>
                <w:szCs w:val="22"/>
                <w:lang w:eastAsia="en-GB"/>
              </w:rPr>
              <w:t>Executive Team</w:t>
            </w:r>
          </w:p>
        </w:tc>
        <w:tc>
          <w:tcPr>
            <w:tcW w:w="2316" w:type="dxa"/>
          </w:tcPr>
          <w:p w14:paraId="284570D7" w14:textId="77777777" w:rsidR="0054534D" w:rsidRPr="00CF30E3" w:rsidRDefault="0054534D" w:rsidP="007B1052">
            <w:pPr>
              <w:spacing w:before="40" w:after="40"/>
              <w:rPr>
                <w:rFonts w:eastAsia="Times New Roman"/>
                <w:bCs/>
                <w:sz w:val="22"/>
                <w:szCs w:val="22"/>
                <w:lang w:eastAsia="en-GB"/>
              </w:rPr>
            </w:pPr>
            <w:r w:rsidRPr="00CF30E3">
              <w:rPr>
                <w:rFonts w:eastAsia="Times New Roman"/>
                <w:sz w:val="22"/>
                <w:szCs w:val="22"/>
                <w:lang w:eastAsia="en-GB"/>
              </w:rPr>
              <w:t>Name of responsible committee/ group</w:t>
            </w:r>
            <w:r w:rsidR="00D45FE7">
              <w:rPr>
                <w:rFonts w:eastAsia="Times New Roman"/>
                <w:sz w:val="22"/>
                <w:szCs w:val="22"/>
                <w:lang w:eastAsia="en-GB"/>
              </w:rPr>
              <w:t>s:</w:t>
            </w:r>
          </w:p>
        </w:tc>
        <w:tc>
          <w:tcPr>
            <w:tcW w:w="2316" w:type="dxa"/>
          </w:tcPr>
          <w:p w14:paraId="0B06A94C" w14:textId="77777777" w:rsidR="0054534D" w:rsidRPr="00CF30E3" w:rsidRDefault="00A271BB" w:rsidP="007B1052">
            <w:pPr>
              <w:spacing w:before="40" w:after="40"/>
              <w:rPr>
                <w:rFonts w:eastAsia="Times New Roman"/>
                <w:bCs/>
                <w:sz w:val="22"/>
                <w:szCs w:val="22"/>
                <w:lang w:eastAsia="en-GB"/>
              </w:rPr>
            </w:pPr>
            <w:r>
              <w:rPr>
                <w:rFonts w:eastAsia="Times New Roman"/>
                <w:sz w:val="22"/>
                <w:szCs w:val="22"/>
                <w:lang w:eastAsia="en-GB"/>
              </w:rPr>
              <w:t xml:space="preserve">Infection Prevention and Control </w:t>
            </w:r>
            <w:r w:rsidR="008A3418">
              <w:rPr>
                <w:rFonts w:eastAsia="Times New Roman"/>
                <w:sz w:val="22"/>
                <w:szCs w:val="22"/>
                <w:lang w:eastAsia="en-GB"/>
              </w:rPr>
              <w:t>subcommittee</w:t>
            </w:r>
            <w:r>
              <w:rPr>
                <w:rFonts w:eastAsia="Times New Roman"/>
                <w:sz w:val="22"/>
                <w:szCs w:val="22"/>
                <w:lang w:eastAsia="en-GB"/>
              </w:rPr>
              <w:t xml:space="preserve"> </w:t>
            </w:r>
            <w:r w:rsidR="008A3418">
              <w:rPr>
                <w:rFonts w:eastAsia="Times New Roman"/>
                <w:sz w:val="22"/>
                <w:szCs w:val="22"/>
                <w:lang w:eastAsia="en-GB"/>
              </w:rPr>
              <w:t>(IPCSC</w:t>
            </w:r>
            <w:r>
              <w:rPr>
                <w:rFonts w:eastAsia="Times New Roman"/>
                <w:sz w:val="22"/>
                <w:szCs w:val="22"/>
                <w:lang w:eastAsia="en-GB"/>
              </w:rPr>
              <w:t>)</w:t>
            </w:r>
          </w:p>
        </w:tc>
      </w:tr>
      <w:tr w:rsidR="00D45FE7" w:rsidRPr="00CF30E3" w14:paraId="136F546B" w14:textId="77777777" w:rsidTr="0054534D">
        <w:tc>
          <w:tcPr>
            <w:tcW w:w="2126" w:type="dxa"/>
          </w:tcPr>
          <w:p w14:paraId="321BA401" w14:textId="77777777" w:rsidR="0054534D" w:rsidRPr="00CF30E3" w:rsidRDefault="0054534D" w:rsidP="007B1052">
            <w:pPr>
              <w:spacing w:before="40" w:after="40"/>
              <w:rPr>
                <w:rFonts w:eastAsia="Times New Roman"/>
                <w:bCs/>
                <w:sz w:val="22"/>
                <w:szCs w:val="24"/>
                <w:lang w:eastAsia="en-GB"/>
              </w:rPr>
            </w:pPr>
            <w:r w:rsidRPr="00CF30E3">
              <w:rPr>
                <w:rFonts w:eastAsia="Times New Roman"/>
                <w:sz w:val="22"/>
                <w:szCs w:val="24"/>
                <w:lang w:eastAsia="en-GB"/>
              </w:rPr>
              <w:t>Date of approval:</w:t>
            </w:r>
          </w:p>
        </w:tc>
        <w:tc>
          <w:tcPr>
            <w:tcW w:w="2376" w:type="dxa"/>
          </w:tcPr>
          <w:p w14:paraId="696F80D5" w14:textId="77777777" w:rsidR="0054534D" w:rsidRPr="00D433D2" w:rsidRDefault="0054534D" w:rsidP="007B1052">
            <w:pPr>
              <w:spacing w:before="40" w:after="40"/>
              <w:rPr>
                <w:rFonts w:eastAsia="Times New Roman"/>
                <w:bCs/>
                <w:color w:val="000000" w:themeColor="text1"/>
                <w:sz w:val="22"/>
                <w:szCs w:val="22"/>
                <w:lang w:eastAsia="en-GB"/>
              </w:rPr>
            </w:pPr>
            <w:r w:rsidRPr="00D433D2">
              <w:rPr>
                <w:rFonts w:eastAsia="Times New Roman"/>
                <w:color w:val="000000" w:themeColor="text1"/>
                <w:sz w:val="22"/>
                <w:szCs w:val="22"/>
                <w:lang w:eastAsia="en-GB"/>
              </w:rPr>
              <w:t xml:space="preserve">Date of Exec </w:t>
            </w:r>
            <w:r w:rsidR="00E859ED" w:rsidRPr="00D433D2">
              <w:rPr>
                <w:rFonts w:eastAsia="Times New Roman"/>
                <w:color w:val="000000" w:themeColor="text1"/>
                <w:sz w:val="22"/>
                <w:szCs w:val="22"/>
                <w:lang w:eastAsia="en-GB"/>
              </w:rPr>
              <w:t>approval June</w:t>
            </w:r>
            <w:r w:rsidR="008A3418" w:rsidRPr="00D433D2">
              <w:rPr>
                <w:rFonts w:eastAsia="Times New Roman"/>
                <w:color w:val="000000" w:themeColor="text1"/>
                <w:sz w:val="22"/>
                <w:szCs w:val="22"/>
                <w:lang w:eastAsia="en-GB"/>
              </w:rPr>
              <w:t xml:space="preserve"> 2023</w:t>
            </w:r>
          </w:p>
        </w:tc>
        <w:tc>
          <w:tcPr>
            <w:tcW w:w="2316" w:type="dxa"/>
          </w:tcPr>
          <w:p w14:paraId="75AE51FE" w14:textId="77777777" w:rsidR="0054534D" w:rsidRPr="00D433D2" w:rsidRDefault="0054534D" w:rsidP="007B1052">
            <w:pPr>
              <w:spacing w:before="40" w:after="40"/>
              <w:rPr>
                <w:rFonts w:eastAsia="Times New Roman"/>
                <w:bCs/>
                <w:sz w:val="22"/>
                <w:szCs w:val="22"/>
                <w:lang w:eastAsia="en-GB"/>
              </w:rPr>
            </w:pPr>
            <w:r w:rsidRPr="00D433D2">
              <w:rPr>
                <w:rFonts w:eastAsia="Times New Roman"/>
                <w:sz w:val="22"/>
                <w:szCs w:val="22"/>
                <w:lang w:eastAsia="en-GB"/>
              </w:rPr>
              <w:t>Review date:</w:t>
            </w:r>
          </w:p>
        </w:tc>
        <w:tc>
          <w:tcPr>
            <w:tcW w:w="2316" w:type="dxa"/>
          </w:tcPr>
          <w:p w14:paraId="3B8C60EE" w14:textId="77777777" w:rsidR="0054534D" w:rsidRPr="00CF30E3" w:rsidRDefault="008A3418" w:rsidP="007B1052">
            <w:pPr>
              <w:spacing w:before="40" w:after="40"/>
              <w:rPr>
                <w:rFonts w:eastAsia="Times New Roman"/>
                <w:bCs/>
                <w:sz w:val="22"/>
                <w:szCs w:val="22"/>
                <w:lang w:eastAsia="en-GB"/>
              </w:rPr>
            </w:pPr>
            <w:r>
              <w:rPr>
                <w:rFonts w:eastAsia="Times New Roman"/>
                <w:sz w:val="22"/>
                <w:szCs w:val="22"/>
                <w:lang w:eastAsia="en-GB"/>
              </w:rPr>
              <w:t>June 2025</w:t>
            </w:r>
          </w:p>
        </w:tc>
      </w:tr>
      <w:tr w:rsidR="00D45FE7" w:rsidRPr="00CF30E3" w14:paraId="6DCAF41F" w14:textId="77777777" w:rsidTr="0054534D">
        <w:tc>
          <w:tcPr>
            <w:tcW w:w="2126" w:type="dxa"/>
          </w:tcPr>
          <w:p w14:paraId="31064B10" w14:textId="77777777" w:rsidR="0054534D" w:rsidRPr="00CF30E3" w:rsidRDefault="0054534D" w:rsidP="007B1052">
            <w:pPr>
              <w:spacing w:before="40" w:after="40"/>
              <w:rPr>
                <w:rFonts w:eastAsia="Times New Roman"/>
                <w:bCs/>
                <w:sz w:val="22"/>
                <w:szCs w:val="24"/>
                <w:lang w:eastAsia="en-GB"/>
              </w:rPr>
            </w:pPr>
            <w:r w:rsidRPr="00CF30E3">
              <w:rPr>
                <w:rFonts w:eastAsia="Times New Roman"/>
                <w:sz w:val="22"/>
                <w:szCs w:val="24"/>
                <w:lang w:eastAsia="en-GB"/>
              </w:rPr>
              <w:t>Policy supersedes:</w:t>
            </w:r>
          </w:p>
        </w:tc>
        <w:tc>
          <w:tcPr>
            <w:tcW w:w="2376" w:type="dxa"/>
          </w:tcPr>
          <w:p w14:paraId="597A7582" w14:textId="77777777" w:rsidR="0054534D" w:rsidRPr="00D433D2" w:rsidRDefault="00A271BB" w:rsidP="007B1052">
            <w:pPr>
              <w:spacing w:before="40" w:after="40"/>
              <w:rPr>
                <w:rFonts w:eastAsia="Times New Roman"/>
                <w:bCs/>
                <w:color w:val="000000" w:themeColor="text1"/>
                <w:sz w:val="22"/>
                <w:szCs w:val="22"/>
                <w:lang w:eastAsia="en-GB"/>
              </w:rPr>
            </w:pPr>
            <w:r w:rsidRPr="00D433D2">
              <w:rPr>
                <w:rFonts w:eastAsia="Times New Roman"/>
                <w:color w:val="000000" w:themeColor="text1"/>
                <w:sz w:val="22"/>
                <w:szCs w:val="22"/>
                <w:lang w:eastAsia="en-GB"/>
              </w:rPr>
              <w:t xml:space="preserve">Version </w:t>
            </w:r>
            <w:r w:rsidR="00F3217E">
              <w:rPr>
                <w:rFonts w:eastAsia="Times New Roman"/>
                <w:color w:val="000000" w:themeColor="text1"/>
                <w:sz w:val="22"/>
                <w:szCs w:val="22"/>
                <w:lang w:eastAsia="en-GB"/>
              </w:rPr>
              <w:t>7</w:t>
            </w:r>
            <w:r w:rsidRPr="00D433D2">
              <w:rPr>
                <w:rFonts w:eastAsia="Times New Roman"/>
                <w:color w:val="000000" w:themeColor="text1"/>
                <w:sz w:val="22"/>
                <w:szCs w:val="22"/>
                <w:lang w:eastAsia="en-GB"/>
              </w:rPr>
              <w:t xml:space="preserve">  </w:t>
            </w:r>
          </w:p>
        </w:tc>
        <w:tc>
          <w:tcPr>
            <w:tcW w:w="2316" w:type="dxa"/>
          </w:tcPr>
          <w:p w14:paraId="49FAEE1E" w14:textId="77777777" w:rsidR="0054534D" w:rsidRPr="00D433D2" w:rsidRDefault="0054534D" w:rsidP="007B1052">
            <w:pPr>
              <w:spacing w:before="40" w:after="40"/>
              <w:rPr>
                <w:rFonts w:eastAsia="Times New Roman"/>
                <w:bCs/>
                <w:sz w:val="22"/>
                <w:szCs w:val="22"/>
                <w:lang w:eastAsia="en-GB"/>
              </w:rPr>
            </w:pPr>
          </w:p>
        </w:tc>
        <w:tc>
          <w:tcPr>
            <w:tcW w:w="2316" w:type="dxa"/>
          </w:tcPr>
          <w:p w14:paraId="3A8DD256" w14:textId="77777777" w:rsidR="0054534D" w:rsidRPr="00CF30E3" w:rsidRDefault="0054534D" w:rsidP="007B1052">
            <w:pPr>
              <w:spacing w:before="40" w:after="40"/>
              <w:rPr>
                <w:rFonts w:eastAsia="Times New Roman"/>
                <w:bCs/>
                <w:sz w:val="22"/>
                <w:szCs w:val="22"/>
                <w:lang w:eastAsia="en-GB"/>
              </w:rPr>
            </w:pPr>
          </w:p>
        </w:tc>
      </w:tr>
      <w:tr w:rsidR="00D45FE7" w:rsidRPr="00CF30E3" w14:paraId="37072052" w14:textId="77777777" w:rsidTr="0054534D">
        <w:tc>
          <w:tcPr>
            <w:tcW w:w="2126" w:type="dxa"/>
          </w:tcPr>
          <w:p w14:paraId="1E044306" w14:textId="77777777" w:rsidR="0054534D" w:rsidRPr="00CF30E3" w:rsidRDefault="0054534D" w:rsidP="007B1052">
            <w:pPr>
              <w:spacing w:before="40" w:after="40"/>
              <w:rPr>
                <w:rFonts w:eastAsia="Times New Roman"/>
                <w:bCs/>
                <w:sz w:val="22"/>
                <w:szCs w:val="22"/>
                <w:lang w:eastAsia="en-GB"/>
              </w:rPr>
            </w:pPr>
            <w:r w:rsidRPr="00CF30E3">
              <w:rPr>
                <w:rFonts w:eastAsia="Times New Roman"/>
                <w:sz w:val="22"/>
                <w:szCs w:val="22"/>
                <w:lang w:eastAsia="en-GB"/>
              </w:rPr>
              <w:t>Executive Lead:</w:t>
            </w:r>
          </w:p>
        </w:tc>
        <w:tc>
          <w:tcPr>
            <w:tcW w:w="2376" w:type="dxa"/>
          </w:tcPr>
          <w:p w14:paraId="248BF71A" w14:textId="77777777" w:rsidR="0054534D" w:rsidRPr="00D433D2" w:rsidRDefault="00E859ED" w:rsidP="007B1052">
            <w:pPr>
              <w:spacing w:before="40" w:after="40"/>
              <w:rPr>
                <w:rFonts w:eastAsia="Times New Roman"/>
                <w:bCs/>
                <w:sz w:val="22"/>
                <w:szCs w:val="22"/>
                <w:lang w:eastAsia="en-GB"/>
              </w:rPr>
            </w:pPr>
            <w:r w:rsidRPr="00E859ED">
              <w:rPr>
                <w:sz w:val="22"/>
                <w:szCs w:val="22"/>
              </w:rPr>
              <w:t>Magnus Harrison</w:t>
            </w:r>
            <w:r w:rsidR="00015210" w:rsidRPr="00E859ED">
              <w:rPr>
                <w:sz w:val="22"/>
                <w:szCs w:val="22"/>
              </w:rPr>
              <w:t xml:space="preserve"> Medical Director  </w:t>
            </w:r>
            <w:r w:rsidR="00A0559F" w:rsidRPr="00E859ED">
              <w:rPr>
                <w:sz w:val="22"/>
                <w:szCs w:val="22"/>
              </w:rPr>
              <w:t xml:space="preserve"> </w:t>
            </w:r>
            <w:r w:rsidR="00A53B3C" w:rsidRPr="00E859ED">
              <w:rPr>
                <w:sz w:val="22"/>
                <w:szCs w:val="22"/>
              </w:rPr>
              <w:t>/Director of Infection Prevention and Control (DIPC)</w:t>
            </w:r>
          </w:p>
        </w:tc>
        <w:tc>
          <w:tcPr>
            <w:tcW w:w="2316" w:type="dxa"/>
          </w:tcPr>
          <w:p w14:paraId="28936395" w14:textId="77777777" w:rsidR="0054534D" w:rsidRPr="00D433D2" w:rsidRDefault="0054534D" w:rsidP="007B1052">
            <w:pPr>
              <w:spacing w:before="40" w:after="40"/>
              <w:rPr>
                <w:rFonts w:eastAsia="Times New Roman"/>
                <w:bCs/>
                <w:sz w:val="22"/>
                <w:szCs w:val="22"/>
                <w:lang w:eastAsia="en-GB"/>
              </w:rPr>
            </w:pPr>
          </w:p>
        </w:tc>
        <w:tc>
          <w:tcPr>
            <w:tcW w:w="2316" w:type="dxa"/>
          </w:tcPr>
          <w:p w14:paraId="39601B61" w14:textId="77777777" w:rsidR="0054534D" w:rsidRPr="00CF30E3" w:rsidRDefault="0054534D" w:rsidP="007B1052">
            <w:pPr>
              <w:spacing w:before="40" w:after="40"/>
              <w:rPr>
                <w:rFonts w:eastAsia="Times New Roman"/>
                <w:bCs/>
                <w:sz w:val="22"/>
                <w:szCs w:val="22"/>
                <w:lang w:eastAsia="en-GB"/>
              </w:rPr>
            </w:pPr>
          </w:p>
        </w:tc>
      </w:tr>
      <w:tr w:rsidR="00D45FE7" w:rsidRPr="00CF30E3" w14:paraId="314695F0" w14:textId="77777777" w:rsidTr="00684A8E">
        <w:tc>
          <w:tcPr>
            <w:tcW w:w="2126" w:type="dxa"/>
          </w:tcPr>
          <w:p w14:paraId="276FB997" w14:textId="77777777" w:rsidR="0054534D" w:rsidRPr="00CF30E3" w:rsidRDefault="0054534D" w:rsidP="007B1052">
            <w:pPr>
              <w:spacing w:before="40" w:after="40"/>
              <w:rPr>
                <w:rFonts w:eastAsia="Times New Roman"/>
                <w:bCs/>
                <w:sz w:val="22"/>
                <w:szCs w:val="22"/>
                <w:lang w:eastAsia="en-GB"/>
              </w:rPr>
            </w:pPr>
            <w:r w:rsidRPr="00CF30E3">
              <w:rPr>
                <w:rFonts w:eastAsia="Times New Roman"/>
                <w:sz w:val="22"/>
                <w:szCs w:val="22"/>
                <w:lang w:eastAsia="en-GB"/>
              </w:rPr>
              <w:t>Target audience:</w:t>
            </w:r>
          </w:p>
        </w:tc>
        <w:tc>
          <w:tcPr>
            <w:tcW w:w="7008" w:type="dxa"/>
            <w:gridSpan w:val="3"/>
          </w:tcPr>
          <w:p w14:paraId="042F9A7E" w14:textId="77777777" w:rsidR="0054534D" w:rsidRPr="00D433D2" w:rsidRDefault="00A53B3C" w:rsidP="007B1052">
            <w:pPr>
              <w:spacing w:before="40" w:after="40"/>
              <w:rPr>
                <w:rFonts w:eastAsia="Times New Roman"/>
                <w:bCs/>
                <w:sz w:val="22"/>
                <w:szCs w:val="22"/>
                <w:lang w:eastAsia="en-GB"/>
              </w:rPr>
            </w:pPr>
            <w:r w:rsidRPr="00E859ED">
              <w:rPr>
                <w:sz w:val="22"/>
                <w:szCs w:val="22"/>
              </w:rPr>
              <w:t>All LTHT Employees</w:t>
            </w:r>
          </w:p>
        </w:tc>
      </w:tr>
      <w:tr w:rsidR="00D45FE7" w:rsidRPr="00CF30E3" w14:paraId="666547AA" w14:textId="77777777" w:rsidTr="00684A8E">
        <w:tc>
          <w:tcPr>
            <w:tcW w:w="2126" w:type="dxa"/>
          </w:tcPr>
          <w:p w14:paraId="7BF2DA92" w14:textId="77777777" w:rsidR="0054534D" w:rsidRPr="00CF30E3" w:rsidRDefault="0054534D" w:rsidP="007B1052">
            <w:pPr>
              <w:spacing w:before="40" w:after="40"/>
              <w:rPr>
                <w:rFonts w:eastAsia="Times New Roman"/>
                <w:bCs/>
                <w:sz w:val="22"/>
                <w:szCs w:val="22"/>
                <w:lang w:eastAsia="en-GB"/>
              </w:rPr>
            </w:pPr>
            <w:r w:rsidRPr="00CF30E3">
              <w:rPr>
                <w:rFonts w:eastAsia="Times New Roman"/>
                <w:sz w:val="22"/>
                <w:szCs w:val="22"/>
                <w:lang w:eastAsia="en-GB"/>
              </w:rPr>
              <w:t>Keywords</w:t>
            </w:r>
          </w:p>
        </w:tc>
        <w:tc>
          <w:tcPr>
            <w:tcW w:w="7008" w:type="dxa"/>
            <w:gridSpan w:val="3"/>
          </w:tcPr>
          <w:p w14:paraId="2EB810B2" w14:textId="77777777" w:rsidR="0054534D" w:rsidRPr="00D433D2" w:rsidRDefault="000A3C58" w:rsidP="007B1052">
            <w:pPr>
              <w:spacing w:before="40" w:after="40"/>
              <w:rPr>
                <w:rFonts w:eastAsia="Times New Roman"/>
                <w:bCs/>
                <w:sz w:val="22"/>
                <w:szCs w:val="22"/>
                <w:lang w:eastAsia="en-GB"/>
              </w:rPr>
            </w:pPr>
            <w:r w:rsidRPr="00D433D2">
              <w:rPr>
                <w:rFonts w:eastAsia="Times New Roman"/>
                <w:sz w:val="22"/>
                <w:szCs w:val="22"/>
                <w:lang w:eastAsia="en-GB"/>
              </w:rPr>
              <w:t>HCAI, Healthcare associated infections, infections</w:t>
            </w:r>
          </w:p>
        </w:tc>
      </w:tr>
    </w:tbl>
    <w:p w14:paraId="567B3E24" w14:textId="77777777" w:rsidR="00D45FE7" w:rsidRDefault="00D45FE7" w:rsidP="00F36E11">
      <w:pPr>
        <w:spacing w:before="200" w:after="200"/>
        <w:rPr>
          <w:rFonts w:eastAsia="Times New Roman"/>
          <w:b/>
          <w:bCs/>
          <w:color w:val="3E80C4"/>
          <w:sz w:val="40"/>
          <w:szCs w:val="34"/>
          <w:lang w:val="en-US" w:eastAsia="en-GB"/>
        </w:rPr>
      </w:pPr>
    </w:p>
    <w:p w14:paraId="510BCECF" w14:textId="77777777" w:rsidR="00D45FE7" w:rsidRDefault="00D45FE7" w:rsidP="00F36E11">
      <w:pPr>
        <w:spacing w:before="200" w:after="200"/>
        <w:rPr>
          <w:rFonts w:eastAsia="Times New Roman"/>
          <w:b/>
          <w:bCs/>
          <w:color w:val="3E80C4"/>
          <w:sz w:val="40"/>
          <w:szCs w:val="34"/>
          <w:lang w:val="en-US" w:eastAsia="en-GB"/>
        </w:rPr>
      </w:pPr>
    </w:p>
    <w:p w14:paraId="4D09ABF9" w14:textId="77777777" w:rsidR="007B1052" w:rsidRPr="00CF30E3" w:rsidRDefault="007B1052" w:rsidP="00F36E11">
      <w:pPr>
        <w:spacing w:before="200" w:after="200"/>
        <w:rPr>
          <w:rFonts w:eastAsia="Times New Roman"/>
          <w:b/>
          <w:bCs/>
          <w:color w:val="3E80C4"/>
          <w:sz w:val="40"/>
          <w:szCs w:val="34"/>
          <w:lang w:val="en-US" w:eastAsia="en-GB"/>
        </w:rPr>
      </w:pPr>
      <w:r w:rsidRPr="00CF30E3">
        <w:rPr>
          <w:rFonts w:eastAsia="Times New Roman"/>
          <w:b/>
          <w:color w:val="3E80C4"/>
          <w:sz w:val="40"/>
          <w:szCs w:val="34"/>
          <w:lang w:val="en-US" w:eastAsia="en-GB"/>
        </w:rPr>
        <w:lastRenderedPageBreak/>
        <w:t>Contents</w:t>
      </w:r>
    </w:p>
    <w:tbl>
      <w:tblPr>
        <w:tblW w:w="9104" w:type="dxa"/>
        <w:jc w:val="center"/>
        <w:tblLayout w:type="fixed"/>
        <w:tblLook w:val="01E0" w:firstRow="1" w:lastRow="1" w:firstColumn="1" w:lastColumn="1" w:noHBand="0" w:noVBand="0"/>
      </w:tblPr>
      <w:tblGrid>
        <w:gridCol w:w="987"/>
        <w:gridCol w:w="381"/>
        <w:gridCol w:w="6749"/>
        <w:gridCol w:w="987"/>
      </w:tblGrid>
      <w:tr w:rsidR="007B1052" w:rsidRPr="00CF30E3" w14:paraId="0CF9AC44" w14:textId="77777777" w:rsidTr="003261AF">
        <w:trPr>
          <w:tblHeader/>
          <w:jc w:val="center"/>
        </w:trPr>
        <w:tc>
          <w:tcPr>
            <w:tcW w:w="8117" w:type="dxa"/>
            <w:gridSpan w:val="3"/>
            <w:vAlign w:val="center"/>
          </w:tcPr>
          <w:p w14:paraId="071741F5" w14:textId="77777777" w:rsidR="007B1052" w:rsidRPr="00CF30E3" w:rsidRDefault="00F36E11" w:rsidP="007B1052">
            <w:pPr>
              <w:spacing w:before="200" w:after="200"/>
              <w:rPr>
                <w:rFonts w:eastAsia="Times New Roman"/>
                <w:b/>
                <w:bCs/>
                <w:szCs w:val="24"/>
                <w:lang w:eastAsia="en-GB"/>
              </w:rPr>
            </w:pPr>
            <w:bookmarkStart w:id="0" w:name="_Hlk137627036"/>
            <w:r w:rsidRPr="00CF30E3">
              <w:rPr>
                <w:rFonts w:eastAsia="Times New Roman"/>
                <w:b/>
                <w:szCs w:val="24"/>
                <w:lang w:eastAsia="en-GB"/>
              </w:rPr>
              <w:t>Section</w:t>
            </w:r>
          </w:p>
        </w:tc>
        <w:tc>
          <w:tcPr>
            <w:tcW w:w="987" w:type="dxa"/>
            <w:vAlign w:val="center"/>
          </w:tcPr>
          <w:p w14:paraId="224A06F5" w14:textId="77777777" w:rsidR="007B1052" w:rsidRPr="00CF30E3" w:rsidRDefault="007B1052" w:rsidP="007B1052">
            <w:pPr>
              <w:spacing w:before="200" w:after="200"/>
              <w:rPr>
                <w:rFonts w:eastAsia="Times New Roman"/>
                <w:b/>
                <w:bCs/>
                <w:szCs w:val="24"/>
                <w:lang w:eastAsia="en-GB"/>
              </w:rPr>
            </w:pPr>
            <w:r w:rsidRPr="00CF30E3">
              <w:rPr>
                <w:rFonts w:eastAsia="Times New Roman"/>
                <w:b/>
                <w:szCs w:val="24"/>
                <w:lang w:eastAsia="en-GB"/>
              </w:rPr>
              <w:t>Page</w:t>
            </w:r>
          </w:p>
        </w:tc>
      </w:tr>
      <w:tr w:rsidR="007B1052" w:rsidRPr="00CF30E3" w14:paraId="4F316188" w14:textId="77777777" w:rsidTr="003261AF">
        <w:trPr>
          <w:jc w:val="center"/>
        </w:trPr>
        <w:tc>
          <w:tcPr>
            <w:tcW w:w="1368" w:type="dxa"/>
            <w:gridSpan w:val="2"/>
            <w:vAlign w:val="center"/>
          </w:tcPr>
          <w:p w14:paraId="61525636" w14:textId="77777777" w:rsidR="007B1052" w:rsidRPr="00CF30E3" w:rsidRDefault="002D5277" w:rsidP="002D5277">
            <w:pPr>
              <w:spacing w:before="80" w:after="80"/>
              <w:jc w:val="center"/>
              <w:rPr>
                <w:rFonts w:eastAsia="Times New Roman"/>
                <w:bCs/>
                <w:szCs w:val="24"/>
                <w:lang w:eastAsia="en-GB"/>
              </w:rPr>
            </w:pPr>
            <w:r w:rsidRPr="00CF30E3">
              <w:rPr>
                <w:rFonts w:eastAsia="Times New Roman"/>
                <w:szCs w:val="24"/>
                <w:lang w:eastAsia="en-GB"/>
              </w:rPr>
              <w:t>1</w:t>
            </w:r>
          </w:p>
        </w:tc>
        <w:tc>
          <w:tcPr>
            <w:tcW w:w="6749" w:type="dxa"/>
            <w:vAlign w:val="center"/>
          </w:tcPr>
          <w:p w14:paraId="2EC24796" w14:textId="77777777" w:rsidR="007B1052" w:rsidRPr="00CF30E3" w:rsidRDefault="007B1052" w:rsidP="007B1052">
            <w:pPr>
              <w:spacing w:before="80" w:after="80"/>
              <w:rPr>
                <w:rFonts w:eastAsia="Times New Roman"/>
                <w:bCs/>
                <w:szCs w:val="24"/>
                <w:lang w:eastAsia="en-GB"/>
              </w:rPr>
            </w:pPr>
            <w:r w:rsidRPr="00CF30E3">
              <w:rPr>
                <w:rFonts w:eastAsia="Times New Roman"/>
                <w:szCs w:val="24"/>
                <w:lang w:eastAsia="en-GB"/>
              </w:rPr>
              <w:t>Staff Summary</w:t>
            </w:r>
            <w:r w:rsidR="002D5277" w:rsidRPr="00CF30E3">
              <w:rPr>
                <w:rFonts w:eastAsia="Times New Roman"/>
                <w:szCs w:val="24"/>
                <w:lang w:eastAsia="en-GB"/>
              </w:rPr>
              <w:t xml:space="preserve"> &amp; Introduction</w:t>
            </w:r>
          </w:p>
        </w:tc>
        <w:tc>
          <w:tcPr>
            <w:tcW w:w="987" w:type="dxa"/>
            <w:vAlign w:val="center"/>
          </w:tcPr>
          <w:p w14:paraId="6E410388" w14:textId="77777777" w:rsidR="007B1052" w:rsidRPr="00CF30E3" w:rsidRDefault="00F36E11" w:rsidP="007B1052">
            <w:pPr>
              <w:spacing w:before="80" w:after="80"/>
              <w:rPr>
                <w:rFonts w:eastAsia="Times New Roman"/>
                <w:bCs/>
                <w:szCs w:val="24"/>
                <w:lang w:eastAsia="en-GB"/>
              </w:rPr>
            </w:pPr>
            <w:r w:rsidRPr="00CF30E3">
              <w:rPr>
                <w:rFonts w:eastAsia="Times New Roman"/>
                <w:szCs w:val="24"/>
                <w:lang w:eastAsia="en-GB"/>
              </w:rPr>
              <w:t>3</w:t>
            </w:r>
          </w:p>
        </w:tc>
      </w:tr>
      <w:tr w:rsidR="007B1052" w:rsidRPr="00CF30E3" w14:paraId="3A87BC9C" w14:textId="77777777" w:rsidTr="003261AF">
        <w:trPr>
          <w:jc w:val="center"/>
        </w:trPr>
        <w:tc>
          <w:tcPr>
            <w:tcW w:w="1368" w:type="dxa"/>
            <w:gridSpan w:val="2"/>
            <w:vAlign w:val="center"/>
          </w:tcPr>
          <w:p w14:paraId="34777241" w14:textId="77777777" w:rsidR="007B1052" w:rsidRPr="00CF30E3" w:rsidRDefault="002D5277" w:rsidP="007B1052">
            <w:pPr>
              <w:spacing w:before="80" w:after="80"/>
              <w:jc w:val="center"/>
              <w:rPr>
                <w:rFonts w:eastAsia="Times New Roman"/>
                <w:bCs/>
                <w:szCs w:val="24"/>
                <w:lang w:eastAsia="en-GB"/>
              </w:rPr>
            </w:pPr>
            <w:r w:rsidRPr="00CF30E3">
              <w:rPr>
                <w:rFonts w:eastAsia="Times New Roman"/>
                <w:szCs w:val="24"/>
                <w:lang w:eastAsia="en-GB"/>
              </w:rPr>
              <w:t>2</w:t>
            </w:r>
          </w:p>
        </w:tc>
        <w:tc>
          <w:tcPr>
            <w:tcW w:w="6749" w:type="dxa"/>
            <w:vAlign w:val="center"/>
          </w:tcPr>
          <w:p w14:paraId="6566E4E7" w14:textId="77777777" w:rsidR="007B1052" w:rsidRPr="00CF30E3" w:rsidRDefault="007B1052" w:rsidP="007B1052">
            <w:pPr>
              <w:spacing w:before="80" w:after="80"/>
              <w:rPr>
                <w:rFonts w:eastAsia="Times New Roman"/>
                <w:bCs/>
                <w:szCs w:val="24"/>
                <w:lang w:eastAsia="en-GB"/>
              </w:rPr>
            </w:pPr>
            <w:r w:rsidRPr="00CF30E3">
              <w:rPr>
                <w:rFonts w:eastAsia="Times New Roman"/>
                <w:szCs w:val="24"/>
                <w:lang w:eastAsia="en-GB"/>
              </w:rPr>
              <w:t>Purpose</w:t>
            </w:r>
            <w:r w:rsidR="002D5277" w:rsidRPr="00CF30E3">
              <w:rPr>
                <w:rFonts w:eastAsia="Times New Roman"/>
                <w:szCs w:val="24"/>
                <w:lang w:eastAsia="en-GB"/>
              </w:rPr>
              <w:t xml:space="preserve"> &amp; Effect</w:t>
            </w:r>
            <w:r w:rsidR="008A3418">
              <w:rPr>
                <w:rFonts w:eastAsia="Times New Roman"/>
                <w:szCs w:val="24"/>
                <w:lang w:eastAsia="en-GB"/>
              </w:rPr>
              <w:t xml:space="preserve">                                                                              </w:t>
            </w:r>
          </w:p>
        </w:tc>
        <w:tc>
          <w:tcPr>
            <w:tcW w:w="987" w:type="dxa"/>
            <w:vAlign w:val="center"/>
          </w:tcPr>
          <w:p w14:paraId="37686216" w14:textId="77777777" w:rsidR="007B1052" w:rsidRPr="00CF30E3" w:rsidRDefault="008A3418" w:rsidP="007B1052">
            <w:pPr>
              <w:spacing w:before="80" w:after="80"/>
              <w:rPr>
                <w:rFonts w:eastAsia="Times New Roman"/>
                <w:bCs/>
                <w:szCs w:val="24"/>
                <w:lang w:eastAsia="en-GB"/>
              </w:rPr>
            </w:pPr>
            <w:r>
              <w:rPr>
                <w:rFonts w:eastAsia="Times New Roman"/>
                <w:szCs w:val="24"/>
                <w:lang w:eastAsia="en-GB"/>
              </w:rPr>
              <w:t>5</w:t>
            </w:r>
          </w:p>
        </w:tc>
      </w:tr>
      <w:tr w:rsidR="007B1052" w:rsidRPr="00CF30E3" w14:paraId="477271BA" w14:textId="77777777" w:rsidTr="003261AF">
        <w:trPr>
          <w:jc w:val="center"/>
        </w:trPr>
        <w:tc>
          <w:tcPr>
            <w:tcW w:w="1368" w:type="dxa"/>
            <w:gridSpan w:val="2"/>
            <w:vAlign w:val="center"/>
          </w:tcPr>
          <w:p w14:paraId="045B859E" w14:textId="77777777" w:rsidR="007B1052" w:rsidRPr="00CF30E3" w:rsidRDefault="007B1052" w:rsidP="007B1052">
            <w:pPr>
              <w:spacing w:before="80" w:after="80"/>
              <w:jc w:val="center"/>
              <w:rPr>
                <w:rFonts w:eastAsia="Times New Roman"/>
                <w:bCs/>
                <w:szCs w:val="24"/>
                <w:lang w:eastAsia="en-GB"/>
              </w:rPr>
            </w:pPr>
            <w:r w:rsidRPr="00CF30E3">
              <w:rPr>
                <w:rFonts w:eastAsia="Times New Roman"/>
                <w:szCs w:val="24"/>
                <w:lang w:eastAsia="en-GB"/>
              </w:rPr>
              <w:t>3</w:t>
            </w:r>
          </w:p>
        </w:tc>
        <w:tc>
          <w:tcPr>
            <w:tcW w:w="6749" w:type="dxa"/>
            <w:vAlign w:val="center"/>
          </w:tcPr>
          <w:p w14:paraId="4621A2D0" w14:textId="77777777" w:rsidR="007B1052" w:rsidRPr="00CF30E3" w:rsidRDefault="002D5277" w:rsidP="007B1052">
            <w:pPr>
              <w:spacing w:before="80" w:after="80"/>
              <w:rPr>
                <w:rFonts w:eastAsia="Times New Roman"/>
                <w:bCs/>
                <w:szCs w:val="24"/>
                <w:lang w:eastAsia="en-GB"/>
              </w:rPr>
            </w:pPr>
            <w:r w:rsidRPr="00CF30E3">
              <w:rPr>
                <w:rFonts w:eastAsia="Times New Roman"/>
                <w:szCs w:val="24"/>
                <w:lang w:eastAsia="en-GB"/>
              </w:rPr>
              <w:t xml:space="preserve">Key </w:t>
            </w:r>
            <w:r w:rsidR="007B1052" w:rsidRPr="00CF30E3">
              <w:rPr>
                <w:rFonts w:eastAsia="Times New Roman"/>
                <w:szCs w:val="24"/>
                <w:lang w:eastAsia="en-GB"/>
              </w:rPr>
              <w:t>Definitions</w:t>
            </w:r>
            <w:r w:rsidR="008A3418">
              <w:rPr>
                <w:rFonts w:eastAsia="Times New Roman"/>
                <w:szCs w:val="24"/>
                <w:lang w:eastAsia="en-GB"/>
              </w:rPr>
              <w:t xml:space="preserve">                                                                                 </w:t>
            </w:r>
          </w:p>
        </w:tc>
        <w:tc>
          <w:tcPr>
            <w:tcW w:w="987" w:type="dxa"/>
            <w:vAlign w:val="center"/>
          </w:tcPr>
          <w:p w14:paraId="136FEA0B" w14:textId="77777777" w:rsidR="007B1052" w:rsidRPr="00CF30E3" w:rsidRDefault="008A3418" w:rsidP="007B1052">
            <w:pPr>
              <w:spacing w:before="80" w:after="80"/>
              <w:rPr>
                <w:rFonts w:eastAsia="Times New Roman"/>
                <w:bCs/>
                <w:szCs w:val="24"/>
                <w:lang w:eastAsia="en-GB"/>
              </w:rPr>
            </w:pPr>
            <w:r>
              <w:rPr>
                <w:rFonts w:eastAsia="Times New Roman"/>
                <w:szCs w:val="24"/>
                <w:lang w:eastAsia="en-GB"/>
              </w:rPr>
              <w:t>6</w:t>
            </w:r>
          </w:p>
        </w:tc>
      </w:tr>
      <w:tr w:rsidR="007B1052" w:rsidRPr="00CF30E3" w14:paraId="2BB88814" w14:textId="77777777" w:rsidTr="003261AF">
        <w:trPr>
          <w:jc w:val="center"/>
        </w:trPr>
        <w:tc>
          <w:tcPr>
            <w:tcW w:w="1368" w:type="dxa"/>
            <w:gridSpan w:val="2"/>
            <w:vAlign w:val="center"/>
          </w:tcPr>
          <w:p w14:paraId="0C81BC39" w14:textId="77777777" w:rsidR="007B1052" w:rsidRPr="00CF30E3" w:rsidRDefault="007B1052" w:rsidP="007B1052">
            <w:pPr>
              <w:spacing w:before="80" w:after="80"/>
              <w:jc w:val="center"/>
              <w:rPr>
                <w:rFonts w:eastAsia="Times New Roman"/>
                <w:bCs/>
                <w:szCs w:val="24"/>
                <w:lang w:eastAsia="en-GB"/>
              </w:rPr>
            </w:pPr>
            <w:r w:rsidRPr="00CF30E3">
              <w:rPr>
                <w:rFonts w:eastAsia="Times New Roman"/>
                <w:szCs w:val="24"/>
                <w:lang w:eastAsia="en-GB"/>
              </w:rPr>
              <w:t>4</w:t>
            </w:r>
          </w:p>
        </w:tc>
        <w:tc>
          <w:tcPr>
            <w:tcW w:w="6749" w:type="dxa"/>
            <w:vAlign w:val="center"/>
          </w:tcPr>
          <w:p w14:paraId="681E8D67" w14:textId="77777777" w:rsidR="007B1052" w:rsidRPr="00CF30E3" w:rsidRDefault="008A3418" w:rsidP="007B1052">
            <w:pPr>
              <w:spacing w:before="80" w:after="80"/>
              <w:rPr>
                <w:rFonts w:eastAsia="Times New Roman"/>
                <w:bCs/>
                <w:szCs w:val="24"/>
                <w:lang w:eastAsia="en-GB"/>
              </w:rPr>
            </w:pPr>
            <w:r>
              <w:rPr>
                <w:rFonts w:eastAsia="Times New Roman"/>
                <w:szCs w:val="24"/>
                <w:lang w:eastAsia="en-GB"/>
              </w:rPr>
              <w:t xml:space="preserve">Key staff and committees /group </w:t>
            </w:r>
          </w:p>
        </w:tc>
        <w:tc>
          <w:tcPr>
            <w:tcW w:w="987" w:type="dxa"/>
            <w:vAlign w:val="center"/>
          </w:tcPr>
          <w:p w14:paraId="7723992F" w14:textId="77777777" w:rsidR="007B1052" w:rsidRPr="00CF30E3" w:rsidRDefault="008A3418" w:rsidP="007B1052">
            <w:pPr>
              <w:spacing w:before="80" w:after="80"/>
              <w:rPr>
                <w:rFonts w:eastAsia="Times New Roman"/>
                <w:bCs/>
                <w:szCs w:val="24"/>
                <w:lang w:eastAsia="en-GB"/>
              </w:rPr>
            </w:pPr>
            <w:r>
              <w:rPr>
                <w:rFonts w:eastAsia="Times New Roman"/>
                <w:szCs w:val="24"/>
                <w:lang w:eastAsia="en-GB"/>
              </w:rPr>
              <w:t>6</w:t>
            </w:r>
          </w:p>
        </w:tc>
      </w:tr>
      <w:tr w:rsidR="007B1052" w:rsidRPr="00CF30E3" w14:paraId="11FBFD7B" w14:textId="77777777" w:rsidTr="003261AF">
        <w:trPr>
          <w:jc w:val="center"/>
        </w:trPr>
        <w:tc>
          <w:tcPr>
            <w:tcW w:w="1368" w:type="dxa"/>
            <w:gridSpan w:val="2"/>
            <w:vAlign w:val="center"/>
          </w:tcPr>
          <w:p w14:paraId="61491F3C" w14:textId="77777777" w:rsidR="007B1052" w:rsidRPr="00CF30E3" w:rsidRDefault="007B1052" w:rsidP="007B1052">
            <w:pPr>
              <w:spacing w:before="80" w:after="80"/>
              <w:jc w:val="center"/>
              <w:rPr>
                <w:rFonts w:eastAsia="Times New Roman"/>
                <w:bCs/>
                <w:szCs w:val="24"/>
                <w:lang w:eastAsia="en-GB"/>
              </w:rPr>
            </w:pPr>
            <w:r w:rsidRPr="00CF30E3">
              <w:rPr>
                <w:rFonts w:eastAsia="Times New Roman"/>
                <w:szCs w:val="24"/>
                <w:lang w:eastAsia="en-GB"/>
              </w:rPr>
              <w:t>5</w:t>
            </w:r>
          </w:p>
        </w:tc>
        <w:tc>
          <w:tcPr>
            <w:tcW w:w="6749" w:type="dxa"/>
            <w:vAlign w:val="center"/>
          </w:tcPr>
          <w:p w14:paraId="4D4034EF" w14:textId="77777777" w:rsidR="007B1052" w:rsidRPr="00CF30E3" w:rsidRDefault="008A3418" w:rsidP="007B1052">
            <w:pPr>
              <w:spacing w:before="80" w:after="80"/>
              <w:rPr>
                <w:rFonts w:eastAsia="Times New Roman"/>
                <w:bCs/>
                <w:szCs w:val="24"/>
                <w:lang w:eastAsia="en-GB"/>
              </w:rPr>
            </w:pPr>
            <w:r w:rsidRPr="00CF30E3">
              <w:rPr>
                <w:rFonts w:eastAsia="Times New Roman"/>
                <w:szCs w:val="24"/>
                <w:lang w:eastAsia="en-GB"/>
              </w:rPr>
              <w:t xml:space="preserve">Equality </w:t>
            </w:r>
            <w:r>
              <w:rPr>
                <w:rFonts w:eastAsia="Times New Roman"/>
                <w:szCs w:val="24"/>
                <w:lang w:eastAsia="en-GB"/>
              </w:rPr>
              <w:t xml:space="preserve">and diversity impact                                                                                                   </w:t>
            </w:r>
          </w:p>
        </w:tc>
        <w:tc>
          <w:tcPr>
            <w:tcW w:w="987" w:type="dxa"/>
            <w:vAlign w:val="center"/>
          </w:tcPr>
          <w:p w14:paraId="333BA37F" w14:textId="77777777" w:rsidR="007B1052" w:rsidRPr="00CF30E3" w:rsidRDefault="008A3418" w:rsidP="007B1052">
            <w:pPr>
              <w:spacing w:before="80" w:after="80"/>
              <w:rPr>
                <w:rFonts w:eastAsia="Times New Roman"/>
                <w:bCs/>
                <w:szCs w:val="24"/>
                <w:lang w:eastAsia="en-GB"/>
              </w:rPr>
            </w:pPr>
            <w:r>
              <w:rPr>
                <w:rFonts w:eastAsia="Times New Roman"/>
                <w:szCs w:val="24"/>
                <w:lang w:eastAsia="en-GB"/>
              </w:rPr>
              <w:t>14</w:t>
            </w:r>
          </w:p>
        </w:tc>
      </w:tr>
      <w:tr w:rsidR="007B1052" w:rsidRPr="00CF30E3" w14:paraId="48DC8861" w14:textId="77777777" w:rsidTr="003261AF">
        <w:trPr>
          <w:jc w:val="center"/>
        </w:trPr>
        <w:tc>
          <w:tcPr>
            <w:tcW w:w="1368" w:type="dxa"/>
            <w:gridSpan w:val="2"/>
            <w:vAlign w:val="center"/>
          </w:tcPr>
          <w:p w14:paraId="0B380FF5" w14:textId="77777777" w:rsidR="007B1052" w:rsidRPr="00CF30E3" w:rsidRDefault="007B1052" w:rsidP="007B1052">
            <w:pPr>
              <w:spacing w:before="80" w:after="80"/>
              <w:jc w:val="center"/>
              <w:rPr>
                <w:rFonts w:eastAsia="Times New Roman"/>
                <w:bCs/>
                <w:szCs w:val="24"/>
                <w:lang w:eastAsia="en-GB"/>
              </w:rPr>
            </w:pPr>
            <w:r w:rsidRPr="00CF30E3">
              <w:rPr>
                <w:rFonts w:eastAsia="Times New Roman"/>
                <w:szCs w:val="24"/>
                <w:lang w:eastAsia="en-GB"/>
              </w:rPr>
              <w:t>7</w:t>
            </w:r>
          </w:p>
        </w:tc>
        <w:tc>
          <w:tcPr>
            <w:tcW w:w="6749" w:type="dxa"/>
            <w:vAlign w:val="center"/>
          </w:tcPr>
          <w:p w14:paraId="00C8ED4B" w14:textId="77777777" w:rsidR="007B1052" w:rsidRPr="00CF30E3" w:rsidRDefault="007B1052" w:rsidP="007B1052">
            <w:pPr>
              <w:spacing w:before="80" w:after="80"/>
              <w:rPr>
                <w:rFonts w:eastAsia="Times New Roman"/>
                <w:bCs/>
                <w:szCs w:val="24"/>
                <w:lang w:eastAsia="en-GB"/>
              </w:rPr>
            </w:pPr>
            <w:r w:rsidRPr="00CF30E3">
              <w:rPr>
                <w:rFonts w:eastAsia="Times New Roman"/>
                <w:szCs w:val="24"/>
                <w:lang w:eastAsia="en-GB"/>
              </w:rPr>
              <w:t>Consultation and Review Process</w:t>
            </w:r>
          </w:p>
        </w:tc>
        <w:tc>
          <w:tcPr>
            <w:tcW w:w="987" w:type="dxa"/>
            <w:vAlign w:val="center"/>
          </w:tcPr>
          <w:p w14:paraId="37440E12" w14:textId="77777777" w:rsidR="007B1052" w:rsidRPr="00CF30E3" w:rsidRDefault="003261AF" w:rsidP="007B1052">
            <w:pPr>
              <w:spacing w:before="80" w:after="80"/>
              <w:rPr>
                <w:rFonts w:eastAsia="Times New Roman"/>
                <w:bCs/>
                <w:szCs w:val="24"/>
                <w:lang w:eastAsia="en-GB"/>
              </w:rPr>
            </w:pPr>
            <w:r>
              <w:rPr>
                <w:rFonts w:eastAsia="Times New Roman"/>
                <w:szCs w:val="24"/>
                <w:lang w:eastAsia="en-GB"/>
              </w:rPr>
              <w:t>15</w:t>
            </w:r>
          </w:p>
        </w:tc>
      </w:tr>
      <w:tr w:rsidR="007B1052" w:rsidRPr="00CF30E3" w14:paraId="7301E8DF" w14:textId="77777777" w:rsidTr="003261AF">
        <w:trPr>
          <w:jc w:val="center"/>
        </w:trPr>
        <w:tc>
          <w:tcPr>
            <w:tcW w:w="1368" w:type="dxa"/>
            <w:gridSpan w:val="2"/>
            <w:vAlign w:val="center"/>
          </w:tcPr>
          <w:p w14:paraId="4F68CD40" w14:textId="77777777" w:rsidR="007B1052" w:rsidRPr="00CF30E3" w:rsidRDefault="007B1052" w:rsidP="007B1052">
            <w:pPr>
              <w:spacing w:before="80" w:after="80"/>
              <w:jc w:val="center"/>
              <w:rPr>
                <w:rFonts w:eastAsia="Times New Roman"/>
                <w:bCs/>
                <w:szCs w:val="24"/>
                <w:lang w:eastAsia="en-GB"/>
              </w:rPr>
            </w:pPr>
            <w:r w:rsidRPr="00CF30E3">
              <w:rPr>
                <w:rFonts w:eastAsia="Times New Roman"/>
                <w:szCs w:val="24"/>
                <w:lang w:eastAsia="en-GB"/>
              </w:rPr>
              <w:t>8</w:t>
            </w:r>
          </w:p>
        </w:tc>
        <w:tc>
          <w:tcPr>
            <w:tcW w:w="6749" w:type="dxa"/>
            <w:vAlign w:val="center"/>
          </w:tcPr>
          <w:p w14:paraId="0296EC31" w14:textId="77777777" w:rsidR="007B1052" w:rsidRPr="00CF30E3" w:rsidRDefault="007B1052" w:rsidP="007B1052">
            <w:pPr>
              <w:spacing w:before="80" w:after="80"/>
              <w:rPr>
                <w:rFonts w:eastAsia="Times New Roman"/>
                <w:bCs/>
                <w:szCs w:val="24"/>
                <w:lang w:eastAsia="en-GB"/>
              </w:rPr>
            </w:pPr>
            <w:r w:rsidRPr="00CF30E3">
              <w:rPr>
                <w:rFonts w:eastAsia="Times New Roman"/>
                <w:szCs w:val="24"/>
                <w:lang w:eastAsia="en-GB"/>
              </w:rPr>
              <w:t>Standards/Key Performance Indicators</w:t>
            </w:r>
          </w:p>
        </w:tc>
        <w:tc>
          <w:tcPr>
            <w:tcW w:w="987" w:type="dxa"/>
            <w:vAlign w:val="center"/>
          </w:tcPr>
          <w:p w14:paraId="72EFC267" w14:textId="77777777" w:rsidR="007B1052" w:rsidRPr="00CF30E3" w:rsidRDefault="003261AF" w:rsidP="007B1052">
            <w:pPr>
              <w:spacing w:before="80" w:after="80"/>
              <w:rPr>
                <w:rFonts w:eastAsia="Times New Roman"/>
                <w:bCs/>
                <w:szCs w:val="24"/>
                <w:lang w:eastAsia="en-GB"/>
              </w:rPr>
            </w:pPr>
            <w:r>
              <w:rPr>
                <w:rFonts w:eastAsia="Times New Roman"/>
                <w:szCs w:val="24"/>
                <w:lang w:eastAsia="en-GB"/>
              </w:rPr>
              <w:t>15</w:t>
            </w:r>
          </w:p>
        </w:tc>
      </w:tr>
      <w:tr w:rsidR="007B1052" w:rsidRPr="00CF30E3" w14:paraId="55C530F5" w14:textId="77777777" w:rsidTr="003261AF">
        <w:trPr>
          <w:jc w:val="center"/>
        </w:trPr>
        <w:tc>
          <w:tcPr>
            <w:tcW w:w="1368" w:type="dxa"/>
            <w:gridSpan w:val="2"/>
            <w:vAlign w:val="center"/>
          </w:tcPr>
          <w:p w14:paraId="2B4FA2BB" w14:textId="77777777" w:rsidR="007B1052" w:rsidRPr="00CF30E3" w:rsidRDefault="007B1052" w:rsidP="007B1052">
            <w:pPr>
              <w:spacing w:before="80" w:after="80"/>
              <w:jc w:val="center"/>
              <w:rPr>
                <w:rFonts w:eastAsia="Times New Roman"/>
                <w:bCs/>
                <w:szCs w:val="24"/>
                <w:lang w:eastAsia="en-GB"/>
              </w:rPr>
            </w:pPr>
            <w:r w:rsidRPr="00CF30E3">
              <w:rPr>
                <w:rFonts w:eastAsia="Times New Roman"/>
                <w:szCs w:val="24"/>
                <w:lang w:eastAsia="en-GB"/>
              </w:rPr>
              <w:t>9</w:t>
            </w:r>
          </w:p>
        </w:tc>
        <w:tc>
          <w:tcPr>
            <w:tcW w:w="6749" w:type="dxa"/>
            <w:vAlign w:val="center"/>
          </w:tcPr>
          <w:p w14:paraId="2922B32E" w14:textId="77777777" w:rsidR="007B1052" w:rsidRPr="00CF30E3" w:rsidRDefault="007B1052" w:rsidP="007B1052">
            <w:pPr>
              <w:spacing w:before="80" w:after="80"/>
              <w:rPr>
                <w:rFonts w:eastAsia="Times New Roman"/>
                <w:bCs/>
                <w:szCs w:val="24"/>
                <w:lang w:eastAsia="en-GB"/>
              </w:rPr>
            </w:pPr>
            <w:r w:rsidRPr="00CF30E3">
              <w:rPr>
                <w:rFonts w:eastAsia="Times New Roman"/>
                <w:szCs w:val="24"/>
                <w:lang w:eastAsia="en-GB"/>
              </w:rPr>
              <w:t>Process for Monitoring Compliance and Effectiveness</w:t>
            </w:r>
          </w:p>
        </w:tc>
        <w:tc>
          <w:tcPr>
            <w:tcW w:w="987" w:type="dxa"/>
            <w:vAlign w:val="center"/>
          </w:tcPr>
          <w:p w14:paraId="3340BDFC" w14:textId="77777777" w:rsidR="007B1052" w:rsidRPr="00CF30E3" w:rsidRDefault="003261AF" w:rsidP="007B1052">
            <w:pPr>
              <w:spacing w:before="80" w:after="80"/>
              <w:rPr>
                <w:rFonts w:eastAsia="Times New Roman"/>
                <w:bCs/>
                <w:szCs w:val="24"/>
                <w:lang w:eastAsia="en-GB"/>
              </w:rPr>
            </w:pPr>
            <w:r>
              <w:rPr>
                <w:rFonts w:eastAsia="Times New Roman"/>
                <w:szCs w:val="24"/>
                <w:lang w:eastAsia="en-GB"/>
              </w:rPr>
              <w:t>16</w:t>
            </w:r>
          </w:p>
        </w:tc>
      </w:tr>
      <w:tr w:rsidR="007B1052" w:rsidRPr="00CF30E3" w14:paraId="63E3FEFD" w14:textId="77777777" w:rsidTr="003261AF">
        <w:trPr>
          <w:jc w:val="center"/>
        </w:trPr>
        <w:tc>
          <w:tcPr>
            <w:tcW w:w="1368" w:type="dxa"/>
            <w:gridSpan w:val="2"/>
            <w:vAlign w:val="center"/>
          </w:tcPr>
          <w:p w14:paraId="08F3FAA1" w14:textId="77777777" w:rsidR="007B1052" w:rsidRPr="00CF30E3" w:rsidRDefault="007B1052" w:rsidP="007B1052">
            <w:pPr>
              <w:spacing w:before="80" w:after="80"/>
              <w:jc w:val="center"/>
              <w:rPr>
                <w:rFonts w:eastAsia="Times New Roman"/>
                <w:bCs/>
                <w:szCs w:val="24"/>
                <w:lang w:eastAsia="en-GB"/>
              </w:rPr>
            </w:pPr>
            <w:r w:rsidRPr="00CF30E3">
              <w:rPr>
                <w:rFonts w:eastAsia="Times New Roman"/>
                <w:szCs w:val="24"/>
                <w:lang w:eastAsia="en-GB"/>
              </w:rPr>
              <w:t>10</w:t>
            </w:r>
          </w:p>
        </w:tc>
        <w:tc>
          <w:tcPr>
            <w:tcW w:w="6749" w:type="dxa"/>
            <w:vAlign w:val="center"/>
          </w:tcPr>
          <w:p w14:paraId="12E29AE1" w14:textId="77777777" w:rsidR="007B1052" w:rsidRPr="00CF30E3" w:rsidRDefault="00CF30E3" w:rsidP="007B1052">
            <w:pPr>
              <w:spacing w:before="80" w:after="80"/>
              <w:rPr>
                <w:rFonts w:eastAsia="Times New Roman"/>
                <w:bCs/>
                <w:szCs w:val="24"/>
                <w:lang w:eastAsia="en-GB"/>
              </w:rPr>
            </w:pPr>
            <w:r w:rsidRPr="00CF30E3">
              <w:rPr>
                <w:rFonts w:eastAsia="Times New Roman"/>
                <w:szCs w:val="24"/>
                <w:lang w:eastAsia="en-GB"/>
              </w:rPr>
              <w:t>Plan for Communication and Dissemination of Policy</w:t>
            </w:r>
          </w:p>
        </w:tc>
        <w:tc>
          <w:tcPr>
            <w:tcW w:w="987" w:type="dxa"/>
            <w:vAlign w:val="center"/>
          </w:tcPr>
          <w:p w14:paraId="1A5C598C" w14:textId="77777777" w:rsidR="007B1052" w:rsidRPr="00CF30E3" w:rsidRDefault="003261AF" w:rsidP="007B1052">
            <w:pPr>
              <w:spacing w:before="80" w:after="80"/>
              <w:rPr>
                <w:rFonts w:eastAsia="Times New Roman"/>
                <w:bCs/>
                <w:szCs w:val="24"/>
                <w:lang w:eastAsia="en-GB"/>
              </w:rPr>
            </w:pPr>
            <w:r>
              <w:rPr>
                <w:rFonts w:eastAsia="Times New Roman"/>
                <w:szCs w:val="24"/>
                <w:lang w:eastAsia="en-GB"/>
              </w:rPr>
              <w:t>17</w:t>
            </w:r>
          </w:p>
        </w:tc>
      </w:tr>
      <w:tr w:rsidR="00CF30E3" w:rsidRPr="00CF30E3" w14:paraId="1021D683" w14:textId="77777777" w:rsidTr="003261AF">
        <w:trPr>
          <w:jc w:val="center"/>
        </w:trPr>
        <w:tc>
          <w:tcPr>
            <w:tcW w:w="1368" w:type="dxa"/>
            <w:gridSpan w:val="2"/>
            <w:vAlign w:val="center"/>
          </w:tcPr>
          <w:p w14:paraId="3CBA136A" w14:textId="77777777" w:rsidR="00CF30E3" w:rsidRPr="00CF30E3" w:rsidRDefault="00CF30E3" w:rsidP="007B1052">
            <w:pPr>
              <w:spacing w:before="80" w:after="80"/>
              <w:jc w:val="center"/>
              <w:rPr>
                <w:rFonts w:eastAsia="Times New Roman"/>
                <w:bCs/>
                <w:szCs w:val="24"/>
                <w:lang w:eastAsia="en-GB"/>
              </w:rPr>
            </w:pPr>
            <w:r w:rsidRPr="00CF30E3">
              <w:rPr>
                <w:rFonts w:eastAsia="Times New Roman"/>
                <w:szCs w:val="24"/>
                <w:lang w:eastAsia="en-GB"/>
              </w:rPr>
              <w:t>11</w:t>
            </w:r>
          </w:p>
        </w:tc>
        <w:tc>
          <w:tcPr>
            <w:tcW w:w="6749" w:type="dxa"/>
            <w:vAlign w:val="center"/>
          </w:tcPr>
          <w:p w14:paraId="4987ABBD" w14:textId="77777777" w:rsidR="00CF30E3" w:rsidRPr="00CF30E3" w:rsidRDefault="00CF30E3" w:rsidP="007B1052">
            <w:pPr>
              <w:spacing w:before="80" w:after="80"/>
              <w:rPr>
                <w:rFonts w:eastAsia="Times New Roman"/>
                <w:bCs/>
                <w:szCs w:val="24"/>
                <w:lang w:eastAsia="en-GB"/>
              </w:rPr>
            </w:pPr>
            <w:r w:rsidRPr="00CF30E3">
              <w:rPr>
                <w:rFonts w:eastAsia="Times New Roman"/>
                <w:szCs w:val="24"/>
                <w:lang w:eastAsia="en-GB"/>
              </w:rPr>
              <w:t>References/ Associated Documentation</w:t>
            </w:r>
          </w:p>
        </w:tc>
        <w:tc>
          <w:tcPr>
            <w:tcW w:w="987" w:type="dxa"/>
            <w:vAlign w:val="center"/>
          </w:tcPr>
          <w:p w14:paraId="74D45084" w14:textId="77777777" w:rsidR="00CF30E3" w:rsidRPr="00CF30E3" w:rsidRDefault="003261AF" w:rsidP="007B1052">
            <w:pPr>
              <w:spacing w:before="80" w:after="80"/>
              <w:rPr>
                <w:rFonts w:eastAsia="Times New Roman"/>
                <w:bCs/>
                <w:szCs w:val="24"/>
                <w:lang w:eastAsia="en-GB"/>
              </w:rPr>
            </w:pPr>
            <w:r>
              <w:rPr>
                <w:rFonts w:eastAsia="Times New Roman"/>
                <w:szCs w:val="24"/>
                <w:lang w:eastAsia="en-GB"/>
              </w:rPr>
              <w:t>17</w:t>
            </w:r>
          </w:p>
        </w:tc>
      </w:tr>
      <w:tr w:rsidR="002D5277" w:rsidRPr="00CF30E3" w14:paraId="10CA928F" w14:textId="77777777" w:rsidTr="003261AF">
        <w:trPr>
          <w:gridAfter w:val="3"/>
          <w:wAfter w:w="8117" w:type="dxa"/>
          <w:jc w:val="center"/>
        </w:trPr>
        <w:tc>
          <w:tcPr>
            <w:tcW w:w="987" w:type="dxa"/>
            <w:vAlign w:val="center"/>
          </w:tcPr>
          <w:p w14:paraId="7D2F0B1F" w14:textId="77777777" w:rsidR="002D5277" w:rsidRPr="00CF30E3" w:rsidRDefault="002D5277" w:rsidP="007B1052">
            <w:pPr>
              <w:spacing w:before="80" w:after="80"/>
              <w:rPr>
                <w:rFonts w:eastAsia="Times New Roman"/>
                <w:bCs/>
                <w:szCs w:val="24"/>
                <w:lang w:eastAsia="en-GB"/>
              </w:rPr>
            </w:pPr>
          </w:p>
        </w:tc>
      </w:tr>
      <w:tr w:rsidR="002D5277" w:rsidRPr="00CF30E3" w14:paraId="3467AD71" w14:textId="77777777" w:rsidTr="003261AF">
        <w:trPr>
          <w:gridAfter w:val="3"/>
          <w:wAfter w:w="8117" w:type="dxa"/>
          <w:jc w:val="center"/>
        </w:trPr>
        <w:tc>
          <w:tcPr>
            <w:tcW w:w="987" w:type="dxa"/>
            <w:vAlign w:val="center"/>
          </w:tcPr>
          <w:p w14:paraId="466539D0" w14:textId="77777777" w:rsidR="002D5277" w:rsidRPr="00CF30E3" w:rsidRDefault="002D5277" w:rsidP="007B1052">
            <w:pPr>
              <w:spacing w:before="80" w:after="80"/>
              <w:rPr>
                <w:rFonts w:eastAsia="Times New Roman"/>
                <w:bCs/>
                <w:szCs w:val="24"/>
                <w:lang w:eastAsia="en-GB"/>
              </w:rPr>
            </w:pPr>
          </w:p>
        </w:tc>
      </w:tr>
      <w:tr w:rsidR="002D5277" w:rsidRPr="00CF30E3" w14:paraId="202763AA" w14:textId="77777777" w:rsidTr="003261AF">
        <w:trPr>
          <w:gridAfter w:val="3"/>
          <w:wAfter w:w="8117" w:type="dxa"/>
          <w:jc w:val="center"/>
        </w:trPr>
        <w:tc>
          <w:tcPr>
            <w:tcW w:w="987" w:type="dxa"/>
            <w:vAlign w:val="center"/>
          </w:tcPr>
          <w:p w14:paraId="08758978" w14:textId="77777777" w:rsidR="002D5277" w:rsidRPr="00CF30E3" w:rsidRDefault="002D5277" w:rsidP="007B1052">
            <w:pPr>
              <w:spacing w:before="80" w:after="80"/>
              <w:rPr>
                <w:rFonts w:eastAsia="Times New Roman"/>
                <w:bCs/>
                <w:szCs w:val="24"/>
                <w:lang w:eastAsia="en-GB"/>
              </w:rPr>
            </w:pPr>
          </w:p>
        </w:tc>
      </w:tr>
      <w:tr w:rsidR="002D5277" w:rsidRPr="00CF30E3" w14:paraId="52B162F3" w14:textId="77777777" w:rsidTr="003261AF">
        <w:trPr>
          <w:gridAfter w:val="3"/>
          <w:wAfter w:w="8117" w:type="dxa"/>
          <w:jc w:val="center"/>
        </w:trPr>
        <w:tc>
          <w:tcPr>
            <w:tcW w:w="987" w:type="dxa"/>
            <w:vAlign w:val="center"/>
          </w:tcPr>
          <w:p w14:paraId="22272489" w14:textId="77777777" w:rsidR="002D5277" w:rsidRPr="00CF30E3" w:rsidRDefault="002D5277" w:rsidP="007B1052">
            <w:pPr>
              <w:spacing w:before="80" w:after="80"/>
              <w:rPr>
                <w:rFonts w:eastAsia="Times New Roman"/>
                <w:bCs/>
                <w:szCs w:val="24"/>
                <w:lang w:eastAsia="en-GB"/>
              </w:rPr>
            </w:pPr>
          </w:p>
        </w:tc>
      </w:tr>
      <w:tr w:rsidR="007B1052" w:rsidRPr="00CF30E3" w14:paraId="38959C2E" w14:textId="77777777" w:rsidTr="003261AF">
        <w:trPr>
          <w:jc w:val="center"/>
        </w:trPr>
        <w:tc>
          <w:tcPr>
            <w:tcW w:w="1368" w:type="dxa"/>
            <w:gridSpan w:val="2"/>
            <w:vAlign w:val="center"/>
          </w:tcPr>
          <w:p w14:paraId="7A2DF38B" w14:textId="77777777" w:rsidR="007B1052" w:rsidRPr="00CF30E3" w:rsidRDefault="007B1052" w:rsidP="007B1052">
            <w:pPr>
              <w:spacing w:before="80" w:after="80"/>
              <w:jc w:val="center"/>
              <w:rPr>
                <w:rFonts w:eastAsia="Times New Roman"/>
                <w:bCs/>
                <w:szCs w:val="24"/>
                <w:lang w:eastAsia="en-GB"/>
              </w:rPr>
            </w:pPr>
          </w:p>
        </w:tc>
        <w:tc>
          <w:tcPr>
            <w:tcW w:w="6749" w:type="dxa"/>
            <w:vAlign w:val="center"/>
          </w:tcPr>
          <w:p w14:paraId="4FE51195" w14:textId="77777777" w:rsidR="007B1052" w:rsidRPr="00CF30E3" w:rsidRDefault="007B1052" w:rsidP="007B1052">
            <w:pPr>
              <w:spacing w:before="80" w:after="80"/>
              <w:rPr>
                <w:rFonts w:eastAsia="Times New Roman"/>
                <w:bCs/>
                <w:szCs w:val="24"/>
                <w:lang w:eastAsia="en-GB"/>
              </w:rPr>
            </w:pPr>
            <w:r w:rsidRPr="00CF30E3">
              <w:rPr>
                <w:rFonts w:eastAsia="Times New Roman"/>
                <w:szCs w:val="24"/>
                <w:lang w:eastAsia="en-GB"/>
              </w:rPr>
              <w:t>Checklist for Review and Approval</w:t>
            </w:r>
          </w:p>
        </w:tc>
        <w:tc>
          <w:tcPr>
            <w:tcW w:w="987" w:type="dxa"/>
            <w:vAlign w:val="center"/>
          </w:tcPr>
          <w:p w14:paraId="21E06529" w14:textId="77777777" w:rsidR="007B1052" w:rsidRPr="00CF30E3" w:rsidRDefault="007B1052" w:rsidP="007B1052">
            <w:pPr>
              <w:spacing w:before="80" w:after="80"/>
              <w:rPr>
                <w:rFonts w:eastAsia="Times New Roman"/>
                <w:bCs/>
                <w:szCs w:val="24"/>
                <w:lang w:eastAsia="en-GB"/>
              </w:rPr>
            </w:pPr>
          </w:p>
        </w:tc>
      </w:tr>
      <w:tr w:rsidR="007B1052" w:rsidRPr="00CF30E3" w14:paraId="3FC1D7E0" w14:textId="77777777" w:rsidTr="003261AF">
        <w:trPr>
          <w:jc w:val="center"/>
        </w:trPr>
        <w:tc>
          <w:tcPr>
            <w:tcW w:w="1368" w:type="dxa"/>
            <w:gridSpan w:val="2"/>
            <w:vAlign w:val="center"/>
          </w:tcPr>
          <w:p w14:paraId="5E9552B9" w14:textId="77777777" w:rsidR="007B1052" w:rsidRPr="00CF30E3" w:rsidRDefault="007B1052" w:rsidP="007B1052">
            <w:pPr>
              <w:spacing w:before="80" w:after="80"/>
              <w:jc w:val="center"/>
              <w:rPr>
                <w:rFonts w:eastAsia="Times New Roman"/>
                <w:bCs/>
                <w:szCs w:val="24"/>
                <w:lang w:eastAsia="en-GB"/>
              </w:rPr>
            </w:pPr>
          </w:p>
        </w:tc>
        <w:tc>
          <w:tcPr>
            <w:tcW w:w="6749" w:type="dxa"/>
            <w:vAlign w:val="center"/>
          </w:tcPr>
          <w:p w14:paraId="21935E06" w14:textId="77777777" w:rsidR="007B1052" w:rsidRPr="00CF30E3" w:rsidRDefault="007B1052" w:rsidP="007B1052">
            <w:pPr>
              <w:spacing w:before="80" w:after="80"/>
              <w:rPr>
                <w:rFonts w:eastAsia="Times New Roman"/>
                <w:bCs/>
                <w:szCs w:val="24"/>
                <w:lang w:eastAsia="en-GB"/>
              </w:rPr>
            </w:pPr>
            <w:r w:rsidRPr="00CF30E3">
              <w:rPr>
                <w:rFonts w:eastAsia="Times New Roman"/>
                <w:szCs w:val="24"/>
                <w:lang w:eastAsia="en-GB"/>
              </w:rPr>
              <w:t>Version Control Template (for draft policies only)</w:t>
            </w:r>
          </w:p>
        </w:tc>
        <w:tc>
          <w:tcPr>
            <w:tcW w:w="987" w:type="dxa"/>
            <w:vAlign w:val="center"/>
          </w:tcPr>
          <w:p w14:paraId="2D8AC55A" w14:textId="77777777" w:rsidR="007B1052" w:rsidRPr="00CF30E3" w:rsidRDefault="007B1052" w:rsidP="007B1052">
            <w:pPr>
              <w:spacing w:before="80" w:after="80"/>
              <w:rPr>
                <w:rFonts w:eastAsia="Times New Roman"/>
                <w:bCs/>
                <w:szCs w:val="24"/>
                <w:lang w:eastAsia="en-GB"/>
              </w:rPr>
            </w:pPr>
          </w:p>
        </w:tc>
      </w:tr>
      <w:bookmarkEnd w:id="0"/>
    </w:tbl>
    <w:p w14:paraId="0A837F79" w14:textId="77777777" w:rsidR="007B1052" w:rsidRPr="00CF30E3" w:rsidRDefault="007B1052" w:rsidP="00B41F7E">
      <w:pPr>
        <w:spacing w:before="200" w:after="200"/>
        <w:outlineLvl w:val="0"/>
        <w:rPr>
          <w:rFonts w:eastAsia="Times New Roman"/>
          <w:bCs/>
          <w:szCs w:val="24"/>
          <w:lang w:eastAsia="en-GB"/>
        </w:rPr>
      </w:pPr>
      <w:r w:rsidRPr="00CF30E3">
        <w:rPr>
          <w:rFonts w:eastAsia="Times New Roman"/>
          <w:szCs w:val="24"/>
          <w:lang w:eastAsia="en-GB"/>
        </w:rPr>
        <w:br w:type="page"/>
      </w:r>
    </w:p>
    <w:p w14:paraId="71BE094A" w14:textId="77777777" w:rsidR="00F36E11" w:rsidRPr="00CF30E3" w:rsidRDefault="00285B64" w:rsidP="00CF30E3">
      <w:pPr>
        <w:spacing w:before="200" w:after="200"/>
        <w:rPr>
          <w:rFonts w:eastAsia="Times New Roman"/>
          <w:b/>
          <w:bCs/>
          <w:color w:val="3E80C4"/>
          <w:sz w:val="40"/>
          <w:szCs w:val="34"/>
          <w:lang w:val="en-US" w:eastAsia="en-GB"/>
        </w:rPr>
      </w:pPr>
      <w:r w:rsidRPr="00CF30E3">
        <w:rPr>
          <w:rFonts w:eastAsia="Times New Roman"/>
          <w:b/>
          <w:color w:val="3E80C4"/>
          <w:sz w:val="40"/>
          <w:szCs w:val="34"/>
          <w:lang w:val="en-US" w:eastAsia="en-GB"/>
        </w:rPr>
        <w:lastRenderedPageBreak/>
        <w:t xml:space="preserve">1 </w:t>
      </w:r>
      <w:r w:rsidR="00F36E11" w:rsidRPr="00CF30E3">
        <w:rPr>
          <w:rFonts w:eastAsia="Times New Roman"/>
          <w:b/>
          <w:color w:val="3E80C4"/>
          <w:sz w:val="40"/>
          <w:szCs w:val="34"/>
          <w:lang w:val="en-US" w:eastAsia="en-GB"/>
        </w:rPr>
        <w:t>Staff Summary &amp; Introduction</w:t>
      </w:r>
    </w:p>
    <w:p w14:paraId="22774EE6" w14:textId="77777777" w:rsidR="00A53B3C" w:rsidRPr="00E859ED" w:rsidRDefault="00A53B3C" w:rsidP="00A53B3C">
      <w:pPr>
        <w:pStyle w:val="Body"/>
        <w:rPr>
          <w:rFonts w:asciiTheme="minorBidi" w:hAnsiTheme="minorBidi" w:cstheme="minorBidi"/>
        </w:rPr>
      </w:pPr>
      <w:r w:rsidRPr="00D510CA">
        <w:rPr>
          <w:rFonts w:asciiTheme="minorBidi" w:hAnsiTheme="minorBidi" w:cstheme="minorBidi"/>
        </w:rPr>
        <w:t xml:space="preserve">Health Care Associated Infections (HCAIs) refers to infections that are acquired </w:t>
      </w:r>
      <w:r w:rsidR="000F573C" w:rsidRPr="00D510CA">
        <w:rPr>
          <w:rFonts w:asciiTheme="minorBidi" w:hAnsiTheme="minorBidi" w:cstheme="minorBidi"/>
        </w:rPr>
        <w:t xml:space="preserve">after a patient has been admitted to hospital, and/or </w:t>
      </w:r>
      <w:r w:rsidRPr="00B61302">
        <w:rPr>
          <w:rFonts w:asciiTheme="minorBidi" w:hAnsiTheme="minorBidi" w:cstheme="minorBidi"/>
        </w:rPr>
        <w:t xml:space="preserve">as a result of healthcare interventions. There are a number of factors that can increase the risk of acquiring an infection </w:t>
      </w:r>
      <w:r w:rsidR="000F573C" w:rsidRPr="00B61302">
        <w:rPr>
          <w:rFonts w:asciiTheme="minorBidi" w:hAnsiTheme="minorBidi" w:cstheme="minorBidi"/>
        </w:rPr>
        <w:t>and</w:t>
      </w:r>
      <w:r w:rsidR="008850FD" w:rsidRPr="00E859ED">
        <w:rPr>
          <w:rFonts w:asciiTheme="minorBidi" w:hAnsiTheme="minorBidi" w:cstheme="minorBidi"/>
        </w:rPr>
        <w:t xml:space="preserve"> g</w:t>
      </w:r>
      <w:r w:rsidRPr="00E859ED">
        <w:rPr>
          <w:rFonts w:asciiTheme="minorBidi" w:hAnsiTheme="minorBidi" w:cstheme="minorBidi"/>
        </w:rPr>
        <w:t xml:space="preserve">ood infection prevention is </w:t>
      </w:r>
      <w:r w:rsidR="008850FD" w:rsidRPr="00E859ED">
        <w:rPr>
          <w:rFonts w:asciiTheme="minorBidi" w:hAnsiTheme="minorBidi" w:cstheme="minorBidi"/>
        </w:rPr>
        <w:t>a core component of</w:t>
      </w:r>
      <w:r w:rsidRPr="00E859ED">
        <w:rPr>
          <w:rFonts w:asciiTheme="minorBidi" w:hAnsiTheme="minorBidi" w:cstheme="minorBidi"/>
        </w:rPr>
        <w:t xml:space="preserve"> safe and effective care. </w:t>
      </w:r>
      <w:r w:rsidR="000F573C" w:rsidRPr="00E859ED">
        <w:rPr>
          <w:rFonts w:asciiTheme="minorBidi" w:hAnsiTheme="minorBidi" w:cstheme="minorBidi"/>
        </w:rPr>
        <w:t xml:space="preserve">Effective </w:t>
      </w:r>
      <w:r w:rsidRPr="00E859ED">
        <w:rPr>
          <w:rFonts w:asciiTheme="minorBidi" w:hAnsiTheme="minorBidi" w:cstheme="minorBidi"/>
        </w:rPr>
        <w:t>management</w:t>
      </w:r>
      <w:r w:rsidR="00B32219" w:rsidRPr="00E859ED">
        <w:rPr>
          <w:rFonts w:asciiTheme="minorBidi" w:hAnsiTheme="minorBidi" w:cstheme="minorBidi"/>
        </w:rPr>
        <w:t>, accountability at all levels</w:t>
      </w:r>
      <w:r w:rsidR="008850FD" w:rsidRPr="00E859ED">
        <w:rPr>
          <w:rFonts w:asciiTheme="minorBidi" w:hAnsiTheme="minorBidi" w:cstheme="minorBidi"/>
        </w:rPr>
        <w:t>, clear guidance</w:t>
      </w:r>
      <w:r w:rsidRPr="00E859ED">
        <w:rPr>
          <w:rFonts w:asciiTheme="minorBidi" w:hAnsiTheme="minorBidi" w:cstheme="minorBidi"/>
        </w:rPr>
        <w:t xml:space="preserve"> and organisation</w:t>
      </w:r>
      <w:r w:rsidR="008850FD" w:rsidRPr="00E859ED">
        <w:rPr>
          <w:rFonts w:asciiTheme="minorBidi" w:hAnsiTheme="minorBidi" w:cstheme="minorBidi"/>
        </w:rPr>
        <w:t>-wide</w:t>
      </w:r>
      <w:r w:rsidRPr="00E859ED">
        <w:rPr>
          <w:rFonts w:asciiTheme="minorBidi" w:hAnsiTheme="minorBidi" w:cstheme="minorBidi"/>
        </w:rPr>
        <w:t xml:space="preserve"> processes are key to setting up and maintaining high standards of infection prevention</w:t>
      </w:r>
      <w:r w:rsidR="008850FD" w:rsidRPr="00E859ED">
        <w:rPr>
          <w:rFonts w:asciiTheme="minorBidi" w:hAnsiTheme="minorBidi" w:cstheme="minorBidi"/>
        </w:rPr>
        <w:t>.</w:t>
      </w:r>
      <w:r w:rsidRPr="00E859ED">
        <w:rPr>
          <w:rFonts w:asciiTheme="minorBidi" w:hAnsiTheme="minorBidi" w:cstheme="minorBidi"/>
        </w:rPr>
        <w:t xml:space="preserve"> </w:t>
      </w:r>
      <w:r w:rsidR="008850FD" w:rsidRPr="00E859ED">
        <w:rPr>
          <w:rFonts w:asciiTheme="minorBidi" w:hAnsiTheme="minorBidi" w:cstheme="minorBidi"/>
        </w:rPr>
        <w:t>Multi-disciplinary working is needed for high standards of c</w:t>
      </w:r>
      <w:r w:rsidRPr="00E859ED">
        <w:rPr>
          <w:rFonts w:asciiTheme="minorBidi" w:hAnsiTheme="minorBidi" w:cstheme="minorBidi"/>
        </w:rPr>
        <w:t>leanliness</w:t>
      </w:r>
      <w:r w:rsidR="000F573C" w:rsidRPr="00E859ED">
        <w:rPr>
          <w:rFonts w:asciiTheme="minorBidi" w:hAnsiTheme="minorBidi" w:cstheme="minorBidi"/>
        </w:rPr>
        <w:t xml:space="preserve"> and decontamination,</w:t>
      </w:r>
      <w:r w:rsidRPr="00E859ED">
        <w:rPr>
          <w:rFonts w:asciiTheme="minorBidi" w:hAnsiTheme="minorBidi" w:cstheme="minorBidi"/>
        </w:rPr>
        <w:t xml:space="preserve"> and prudent antimicrobial use</w:t>
      </w:r>
      <w:r w:rsidR="000F573C" w:rsidRPr="00E859ED">
        <w:rPr>
          <w:rFonts w:asciiTheme="minorBidi" w:hAnsiTheme="minorBidi" w:cstheme="minorBidi"/>
        </w:rPr>
        <w:t>. All of which</w:t>
      </w:r>
      <w:r w:rsidRPr="00E859ED">
        <w:rPr>
          <w:rFonts w:asciiTheme="minorBidi" w:hAnsiTheme="minorBidi" w:cstheme="minorBidi"/>
        </w:rPr>
        <w:t xml:space="preserve"> are essential to </w:t>
      </w:r>
      <w:r w:rsidR="000F573C" w:rsidRPr="00E859ED">
        <w:rPr>
          <w:rFonts w:asciiTheme="minorBidi" w:hAnsiTheme="minorBidi" w:cstheme="minorBidi"/>
        </w:rPr>
        <w:t>best practice for</w:t>
      </w:r>
      <w:r w:rsidRPr="00E859ED">
        <w:rPr>
          <w:rFonts w:asciiTheme="minorBidi" w:hAnsiTheme="minorBidi" w:cstheme="minorBidi"/>
        </w:rPr>
        <w:t xml:space="preserve"> people who use health and social care services. (The Health and Social Care Act 20</w:t>
      </w:r>
      <w:r w:rsidR="006B781F">
        <w:rPr>
          <w:rFonts w:asciiTheme="minorBidi" w:hAnsiTheme="minorBidi" w:cstheme="minorBidi"/>
        </w:rPr>
        <w:t>08, last updated December 2022</w:t>
      </w:r>
      <w:r w:rsidRPr="00E859ED">
        <w:rPr>
          <w:rFonts w:asciiTheme="minorBidi" w:hAnsiTheme="minorBidi" w:cstheme="minorBidi"/>
        </w:rPr>
        <w:t>).</w:t>
      </w:r>
    </w:p>
    <w:p w14:paraId="561AA080" w14:textId="77777777" w:rsidR="00A53B3C" w:rsidRPr="00E859ED" w:rsidRDefault="00A53B3C" w:rsidP="00A53B3C">
      <w:pPr>
        <w:pStyle w:val="Body"/>
        <w:rPr>
          <w:rFonts w:ascii="Arial" w:hAnsi="Arial" w:cs="Arial"/>
        </w:rPr>
      </w:pPr>
    </w:p>
    <w:p w14:paraId="568C2B43" w14:textId="77777777" w:rsidR="00A53B3C" w:rsidRPr="00E859ED" w:rsidRDefault="000F573C" w:rsidP="00A53B3C">
      <w:pPr>
        <w:pStyle w:val="Body"/>
        <w:rPr>
          <w:rFonts w:ascii="Arial" w:hAnsi="Arial" w:cs="Arial"/>
        </w:rPr>
      </w:pPr>
      <w:r w:rsidRPr="00E859ED">
        <w:rPr>
          <w:rFonts w:ascii="Arial" w:hAnsi="Arial" w:cs="Arial"/>
        </w:rPr>
        <w:t>HCAIs</w:t>
      </w:r>
      <w:r w:rsidR="00A53B3C" w:rsidRPr="00E859ED">
        <w:rPr>
          <w:rFonts w:ascii="Arial" w:hAnsi="Arial" w:cs="Arial"/>
        </w:rPr>
        <w:t xml:space="preserve">, also known as “nosocomial” or “hospital acquired” infections, can occur in </w:t>
      </w:r>
      <w:r w:rsidR="008850FD" w:rsidRPr="00E859ED">
        <w:rPr>
          <w:rFonts w:ascii="Arial" w:hAnsi="Arial" w:cs="Arial"/>
        </w:rPr>
        <w:t>inpatients</w:t>
      </w:r>
      <w:r w:rsidR="00A53B3C" w:rsidRPr="00E859ED">
        <w:rPr>
          <w:rFonts w:ascii="Arial" w:hAnsi="Arial" w:cs="Arial"/>
        </w:rPr>
        <w:t xml:space="preserve"> where </w:t>
      </w:r>
      <w:r w:rsidR="00B32219" w:rsidRPr="00E859ED">
        <w:rPr>
          <w:rFonts w:ascii="Arial" w:hAnsi="Arial" w:cs="Arial"/>
        </w:rPr>
        <w:t>infection was</w:t>
      </w:r>
      <w:r w:rsidR="00A53B3C" w:rsidRPr="00E859ED">
        <w:rPr>
          <w:rFonts w:ascii="Arial" w:hAnsi="Arial" w:cs="Arial"/>
        </w:rPr>
        <w:t xml:space="preserve"> previously not present</w:t>
      </w:r>
      <w:r w:rsidR="00B32219" w:rsidRPr="00E859ED">
        <w:rPr>
          <w:rFonts w:ascii="Arial" w:hAnsi="Arial" w:cs="Arial"/>
        </w:rPr>
        <w:t>,</w:t>
      </w:r>
      <w:r w:rsidR="00A53B3C" w:rsidRPr="00E859ED">
        <w:rPr>
          <w:rFonts w:ascii="Arial" w:hAnsi="Arial" w:cs="Arial"/>
        </w:rPr>
        <w:t xml:space="preserve"> or incubating</w:t>
      </w:r>
      <w:r w:rsidR="00B32219" w:rsidRPr="00E859ED">
        <w:rPr>
          <w:rFonts w:ascii="Arial" w:hAnsi="Arial" w:cs="Arial"/>
        </w:rPr>
        <w:t>,</w:t>
      </w:r>
      <w:r w:rsidR="00A53B3C" w:rsidRPr="00E859ED">
        <w:rPr>
          <w:rFonts w:ascii="Arial" w:hAnsi="Arial" w:cs="Arial"/>
        </w:rPr>
        <w:t xml:space="preserve"> at the time of admission</w:t>
      </w:r>
      <w:r w:rsidR="008850FD" w:rsidRPr="00E859ED">
        <w:rPr>
          <w:rFonts w:ascii="Arial" w:hAnsi="Arial" w:cs="Arial"/>
        </w:rPr>
        <w:t xml:space="preserve"> to hospital</w:t>
      </w:r>
      <w:r w:rsidR="00A53B3C" w:rsidRPr="00E859ED">
        <w:rPr>
          <w:rFonts w:ascii="Arial" w:hAnsi="Arial" w:cs="Arial"/>
        </w:rPr>
        <w:t xml:space="preserve">. </w:t>
      </w:r>
      <w:r w:rsidR="00522685" w:rsidRPr="00E859ED">
        <w:rPr>
          <w:rFonts w:ascii="Arial" w:hAnsi="Arial" w:cs="Arial"/>
        </w:rPr>
        <w:t>Some infections</w:t>
      </w:r>
      <w:r w:rsidR="00A53B3C" w:rsidRPr="00E859ED">
        <w:rPr>
          <w:rFonts w:ascii="Arial" w:hAnsi="Arial" w:cs="Arial"/>
        </w:rPr>
        <w:t xml:space="preserve"> </w:t>
      </w:r>
      <w:r w:rsidRPr="00E859ED">
        <w:rPr>
          <w:rFonts w:ascii="Arial" w:hAnsi="Arial" w:cs="Arial"/>
        </w:rPr>
        <w:t xml:space="preserve">are </w:t>
      </w:r>
      <w:r w:rsidR="00A53B3C" w:rsidRPr="00E859ED">
        <w:rPr>
          <w:rFonts w:ascii="Arial" w:hAnsi="Arial" w:cs="Arial"/>
        </w:rPr>
        <w:t xml:space="preserve">acquired in </w:t>
      </w:r>
      <w:r w:rsidR="00A71EDD" w:rsidRPr="00E859ED">
        <w:rPr>
          <w:rFonts w:ascii="Arial" w:hAnsi="Arial" w:cs="Arial"/>
        </w:rPr>
        <w:t>hospital,</w:t>
      </w:r>
      <w:r w:rsidR="00A53B3C" w:rsidRPr="00E859ED">
        <w:rPr>
          <w:rFonts w:ascii="Arial" w:hAnsi="Arial" w:cs="Arial"/>
        </w:rPr>
        <w:t xml:space="preserve"> but </w:t>
      </w:r>
      <w:r w:rsidR="008850FD" w:rsidRPr="00E859ED">
        <w:rPr>
          <w:rFonts w:ascii="Arial" w:hAnsi="Arial" w:cs="Arial"/>
        </w:rPr>
        <w:t>clinical signs and symptoms develop</w:t>
      </w:r>
      <w:r w:rsidR="00A53B3C" w:rsidRPr="00E859ED">
        <w:rPr>
          <w:rFonts w:ascii="Arial" w:hAnsi="Arial" w:cs="Arial"/>
        </w:rPr>
        <w:t xml:space="preserve"> after discharge.</w:t>
      </w:r>
      <w:r w:rsidRPr="00E859ED">
        <w:rPr>
          <w:rFonts w:ascii="Arial" w:hAnsi="Arial" w:cs="Arial"/>
        </w:rPr>
        <w:t xml:space="preserve"> Other infections </w:t>
      </w:r>
      <w:r w:rsidR="00B32219" w:rsidRPr="00E859ED">
        <w:rPr>
          <w:rFonts w:ascii="Arial" w:hAnsi="Arial" w:cs="Arial"/>
        </w:rPr>
        <w:t>arise as</w:t>
      </w:r>
      <w:r w:rsidRPr="00E859ED">
        <w:rPr>
          <w:rFonts w:ascii="Arial" w:hAnsi="Arial" w:cs="Arial"/>
        </w:rPr>
        <w:t xml:space="preserve"> a result of outpatient care in the hospital setting</w:t>
      </w:r>
      <w:r w:rsidR="006B781F">
        <w:rPr>
          <w:rFonts w:ascii="Arial" w:hAnsi="Arial" w:cs="Arial"/>
        </w:rPr>
        <w:t xml:space="preserve"> or healthcare provided within the community</w:t>
      </w:r>
      <w:r w:rsidR="008850FD" w:rsidRPr="00E859ED">
        <w:rPr>
          <w:rFonts w:ascii="Arial" w:hAnsi="Arial" w:cs="Arial"/>
        </w:rPr>
        <w:t>. It is essential that infection surveillance takes account of all of these scenarios.</w:t>
      </w:r>
    </w:p>
    <w:p w14:paraId="5A647E3B" w14:textId="77777777" w:rsidR="00A53B3C" w:rsidRPr="00E859ED" w:rsidRDefault="00A53B3C" w:rsidP="00A53B3C">
      <w:pPr>
        <w:pStyle w:val="Body"/>
        <w:rPr>
          <w:rFonts w:ascii="Arial" w:hAnsi="Arial" w:cs="Arial"/>
        </w:rPr>
      </w:pPr>
    </w:p>
    <w:p w14:paraId="5C4B95EB" w14:textId="77777777" w:rsidR="00A53B3C" w:rsidRPr="00E859ED" w:rsidRDefault="00840D23" w:rsidP="00A53B3C">
      <w:pPr>
        <w:pStyle w:val="Body"/>
        <w:rPr>
          <w:rFonts w:ascii="Arial" w:hAnsi="Arial" w:cs="Arial"/>
        </w:rPr>
      </w:pPr>
      <w:r w:rsidRPr="00E859ED">
        <w:rPr>
          <w:rFonts w:ascii="Arial" w:hAnsi="Arial" w:cs="Arial"/>
        </w:rPr>
        <w:t xml:space="preserve">HCAI may be detected in any hospital </w:t>
      </w:r>
      <w:r w:rsidR="00A71EDD" w:rsidRPr="00E859ED">
        <w:rPr>
          <w:rFonts w:ascii="Arial" w:hAnsi="Arial" w:cs="Arial"/>
        </w:rPr>
        <w:t>patient,</w:t>
      </w:r>
      <w:r w:rsidR="008850FD" w:rsidRPr="00E859ED">
        <w:rPr>
          <w:rFonts w:ascii="Arial" w:hAnsi="Arial" w:cs="Arial"/>
        </w:rPr>
        <w:t xml:space="preserve"> </w:t>
      </w:r>
      <w:r w:rsidRPr="00E859ED">
        <w:rPr>
          <w:rFonts w:ascii="Arial" w:hAnsi="Arial" w:cs="Arial"/>
        </w:rPr>
        <w:t>but s</w:t>
      </w:r>
      <w:r w:rsidR="00A53B3C" w:rsidRPr="00E859ED">
        <w:rPr>
          <w:rFonts w:ascii="Arial" w:hAnsi="Arial" w:cs="Arial"/>
        </w:rPr>
        <w:t xml:space="preserve">everal factors </w:t>
      </w:r>
      <w:r w:rsidR="000F573C" w:rsidRPr="00E859ED">
        <w:rPr>
          <w:rFonts w:ascii="Arial" w:hAnsi="Arial" w:cs="Arial"/>
        </w:rPr>
        <w:t>are associated with increased risk of HCAI</w:t>
      </w:r>
      <w:r w:rsidR="00A53B3C" w:rsidRPr="00E859ED">
        <w:rPr>
          <w:rFonts w:ascii="Arial" w:hAnsi="Arial" w:cs="Arial"/>
        </w:rPr>
        <w:t>:</w:t>
      </w:r>
    </w:p>
    <w:p w14:paraId="5AC33535" w14:textId="77777777" w:rsidR="00A53B3C" w:rsidRPr="00E859ED" w:rsidRDefault="00A53B3C" w:rsidP="00A53B3C">
      <w:pPr>
        <w:pStyle w:val="Body"/>
        <w:rPr>
          <w:rFonts w:ascii="Arial" w:hAnsi="Arial" w:cs="Arial"/>
        </w:rPr>
      </w:pPr>
    </w:p>
    <w:p w14:paraId="0DDD0E1F" w14:textId="77777777" w:rsidR="00B32219" w:rsidRPr="00E859ED" w:rsidRDefault="008850FD" w:rsidP="00A53B3C">
      <w:pPr>
        <w:pStyle w:val="Body"/>
        <w:numPr>
          <w:ilvl w:val="0"/>
          <w:numId w:val="3"/>
        </w:numPr>
        <w:rPr>
          <w:rFonts w:ascii="Arial" w:hAnsi="Arial" w:cs="Arial"/>
        </w:rPr>
      </w:pPr>
      <w:r w:rsidRPr="00E859ED">
        <w:rPr>
          <w:rFonts w:ascii="Arial" w:hAnsi="Arial" w:cs="Arial"/>
        </w:rPr>
        <w:t>U</w:t>
      </w:r>
      <w:r w:rsidR="00A53B3C" w:rsidRPr="00E859ED">
        <w:rPr>
          <w:rFonts w:ascii="Arial" w:hAnsi="Arial" w:cs="Arial"/>
        </w:rPr>
        <w:t>se of invasive devices</w:t>
      </w:r>
      <w:r w:rsidRPr="00E859ED">
        <w:rPr>
          <w:rFonts w:ascii="Arial" w:hAnsi="Arial" w:cs="Arial"/>
        </w:rPr>
        <w:t>, especially if prolonged</w:t>
      </w:r>
    </w:p>
    <w:p w14:paraId="747362E5" w14:textId="77777777" w:rsidR="008850FD" w:rsidRPr="00E859ED" w:rsidRDefault="008850FD" w:rsidP="00A53B3C">
      <w:pPr>
        <w:pStyle w:val="Body"/>
        <w:numPr>
          <w:ilvl w:val="0"/>
          <w:numId w:val="3"/>
        </w:numPr>
        <w:rPr>
          <w:rFonts w:ascii="Arial" w:hAnsi="Arial" w:cs="Arial"/>
        </w:rPr>
      </w:pPr>
      <w:r w:rsidRPr="00E859ED">
        <w:rPr>
          <w:rFonts w:ascii="Arial" w:hAnsi="Arial" w:cs="Arial"/>
        </w:rPr>
        <w:t xml:space="preserve">Ventilation </w:t>
      </w:r>
    </w:p>
    <w:p w14:paraId="09A5EEC5" w14:textId="77777777" w:rsidR="00A53B3C" w:rsidRPr="00E859ED" w:rsidRDefault="00B32219" w:rsidP="00A53B3C">
      <w:pPr>
        <w:pStyle w:val="Body"/>
        <w:numPr>
          <w:ilvl w:val="0"/>
          <w:numId w:val="3"/>
        </w:numPr>
        <w:rPr>
          <w:rFonts w:ascii="Arial" w:hAnsi="Arial" w:cs="Arial"/>
        </w:rPr>
      </w:pPr>
      <w:r w:rsidRPr="00E859ED">
        <w:rPr>
          <w:rFonts w:ascii="Arial" w:hAnsi="Arial" w:cs="Arial"/>
        </w:rPr>
        <w:t>A</w:t>
      </w:r>
      <w:r w:rsidR="00A53B3C" w:rsidRPr="00E859ED">
        <w:rPr>
          <w:rFonts w:ascii="Arial" w:hAnsi="Arial" w:cs="Arial"/>
        </w:rPr>
        <w:t>ntibiotic</w:t>
      </w:r>
      <w:r w:rsidRPr="00E859ED">
        <w:rPr>
          <w:rFonts w:ascii="Arial" w:hAnsi="Arial" w:cs="Arial"/>
        </w:rPr>
        <w:t xml:space="preserve"> use, both appropriate and inappropriate use</w:t>
      </w:r>
    </w:p>
    <w:p w14:paraId="3DC5AD8B" w14:textId="77777777" w:rsidR="00A53B3C" w:rsidRPr="00E859ED" w:rsidRDefault="00A53B3C" w:rsidP="00A53B3C">
      <w:pPr>
        <w:pStyle w:val="Body"/>
        <w:numPr>
          <w:ilvl w:val="0"/>
          <w:numId w:val="3"/>
        </w:numPr>
        <w:rPr>
          <w:rFonts w:ascii="Arial" w:hAnsi="Arial" w:cs="Arial"/>
        </w:rPr>
      </w:pPr>
      <w:r w:rsidRPr="00E859ED">
        <w:rPr>
          <w:rFonts w:ascii="Arial" w:hAnsi="Arial" w:cs="Arial"/>
        </w:rPr>
        <w:t>High</w:t>
      </w:r>
      <w:r w:rsidR="000F573C" w:rsidRPr="00E859ED">
        <w:rPr>
          <w:rFonts w:ascii="Arial" w:hAnsi="Arial" w:cs="Arial"/>
        </w:rPr>
        <w:t>-</w:t>
      </w:r>
      <w:r w:rsidRPr="00E859ED">
        <w:rPr>
          <w:rFonts w:ascii="Arial" w:hAnsi="Arial" w:cs="Arial"/>
        </w:rPr>
        <w:t xml:space="preserve">risk and </w:t>
      </w:r>
      <w:r w:rsidR="000F573C" w:rsidRPr="00E859ED">
        <w:rPr>
          <w:rFonts w:ascii="Arial" w:hAnsi="Arial" w:cs="Arial"/>
        </w:rPr>
        <w:t xml:space="preserve">complex </w:t>
      </w:r>
      <w:r w:rsidR="008850FD" w:rsidRPr="00E859ED">
        <w:rPr>
          <w:rFonts w:ascii="Arial" w:hAnsi="Arial" w:cs="Arial"/>
        </w:rPr>
        <w:t>surgery and p</w:t>
      </w:r>
      <w:r w:rsidRPr="00E859ED">
        <w:rPr>
          <w:rFonts w:ascii="Arial" w:hAnsi="Arial" w:cs="Arial"/>
        </w:rPr>
        <w:t>rocedures</w:t>
      </w:r>
    </w:p>
    <w:p w14:paraId="639F8D41" w14:textId="77777777" w:rsidR="00A53B3C" w:rsidRPr="00E859ED" w:rsidRDefault="00A53B3C" w:rsidP="00A53B3C">
      <w:pPr>
        <w:pStyle w:val="Body"/>
        <w:numPr>
          <w:ilvl w:val="0"/>
          <w:numId w:val="3"/>
        </w:numPr>
        <w:rPr>
          <w:rFonts w:ascii="Arial" w:hAnsi="Arial" w:cs="Arial"/>
        </w:rPr>
      </w:pPr>
      <w:r w:rsidRPr="00E859ED">
        <w:rPr>
          <w:rFonts w:ascii="Arial" w:hAnsi="Arial" w:cs="Arial"/>
        </w:rPr>
        <w:t>Immunosuppression and other severe underlying patient conditions</w:t>
      </w:r>
    </w:p>
    <w:p w14:paraId="7AFAD5B2" w14:textId="77777777" w:rsidR="00A53B3C" w:rsidRPr="00E859ED" w:rsidRDefault="00A53B3C" w:rsidP="00A53B3C">
      <w:pPr>
        <w:pStyle w:val="Body"/>
        <w:numPr>
          <w:ilvl w:val="0"/>
          <w:numId w:val="3"/>
        </w:numPr>
        <w:rPr>
          <w:rFonts w:ascii="Arial" w:hAnsi="Arial" w:cs="Arial"/>
        </w:rPr>
      </w:pPr>
      <w:r w:rsidRPr="00E859ED">
        <w:rPr>
          <w:rFonts w:ascii="Arial" w:hAnsi="Arial" w:cs="Arial"/>
        </w:rPr>
        <w:t xml:space="preserve">Insufficient application of standard and </w:t>
      </w:r>
      <w:r w:rsidR="00A71EDD" w:rsidRPr="00E859ED">
        <w:rPr>
          <w:rFonts w:ascii="Arial" w:hAnsi="Arial" w:cs="Arial"/>
        </w:rPr>
        <w:t>transmission-based</w:t>
      </w:r>
      <w:r w:rsidRPr="00E859ED">
        <w:rPr>
          <w:rFonts w:ascii="Arial" w:hAnsi="Arial" w:cs="Arial"/>
        </w:rPr>
        <w:t xml:space="preserve"> precautions including </w:t>
      </w:r>
      <w:r w:rsidR="00B32219" w:rsidRPr="00E859ED">
        <w:rPr>
          <w:rFonts w:ascii="Arial" w:hAnsi="Arial" w:cs="Arial"/>
        </w:rPr>
        <w:t xml:space="preserve">source </w:t>
      </w:r>
      <w:r w:rsidRPr="00E859ED">
        <w:rPr>
          <w:rFonts w:ascii="Arial" w:hAnsi="Arial" w:cs="Arial"/>
        </w:rPr>
        <w:t>isolation</w:t>
      </w:r>
    </w:p>
    <w:p w14:paraId="03E4FAC3" w14:textId="77777777" w:rsidR="00A53B3C" w:rsidRPr="00E859ED" w:rsidRDefault="00A53B3C" w:rsidP="00A53B3C">
      <w:pPr>
        <w:pStyle w:val="Body"/>
        <w:rPr>
          <w:rFonts w:ascii="Arial" w:hAnsi="Arial" w:cs="Arial"/>
        </w:rPr>
      </w:pPr>
    </w:p>
    <w:p w14:paraId="0274D04D" w14:textId="77777777" w:rsidR="00413865" w:rsidRPr="00E859ED" w:rsidRDefault="008850FD" w:rsidP="00B32219">
      <w:pPr>
        <w:pStyle w:val="Body"/>
        <w:rPr>
          <w:rFonts w:ascii="Arial" w:hAnsi="Arial" w:cs="Arial"/>
        </w:rPr>
      </w:pPr>
      <w:r w:rsidRPr="00E859ED">
        <w:rPr>
          <w:rFonts w:ascii="Arial" w:hAnsi="Arial" w:cs="Arial"/>
        </w:rPr>
        <w:t xml:space="preserve">Reportable HCAIs include </w:t>
      </w:r>
      <w:r w:rsidRPr="00D510CA">
        <w:rPr>
          <w:i/>
          <w:iCs/>
        </w:rPr>
        <w:t>Clostridioides</w:t>
      </w:r>
      <w:r w:rsidRPr="00E859ED">
        <w:rPr>
          <w:rFonts w:ascii="Arial" w:hAnsi="Arial" w:cs="Arial"/>
        </w:rPr>
        <w:t xml:space="preserve"> </w:t>
      </w:r>
      <w:r w:rsidRPr="00E859ED">
        <w:rPr>
          <w:rFonts w:ascii="Arial" w:hAnsi="Arial" w:cs="Arial"/>
          <w:i/>
          <w:iCs/>
        </w:rPr>
        <w:t xml:space="preserve">difficile </w:t>
      </w:r>
      <w:r w:rsidRPr="00E859ED">
        <w:rPr>
          <w:rFonts w:ascii="Arial" w:hAnsi="Arial" w:cs="Arial"/>
        </w:rPr>
        <w:t xml:space="preserve">infection (CDI) and bacteraemia caused by MRSA, </w:t>
      </w:r>
      <w:r w:rsidRPr="00E859ED">
        <w:rPr>
          <w:rFonts w:ascii="Arial" w:hAnsi="Arial" w:cs="Arial"/>
          <w:i/>
          <w:iCs/>
        </w:rPr>
        <w:t>E coli, Klebsiella sp</w:t>
      </w:r>
      <w:r w:rsidR="00A71EDD" w:rsidRPr="00E859ED">
        <w:rPr>
          <w:rFonts w:ascii="Arial" w:hAnsi="Arial" w:cs="Arial"/>
        </w:rPr>
        <w:t>p</w:t>
      </w:r>
      <w:r w:rsidRPr="00E859ED">
        <w:rPr>
          <w:rFonts w:ascii="Arial" w:hAnsi="Arial" w:cs="Arial"/>
        </w:rPr>
        <w:t xml:space="preserve"> or </w:t>
      </w:r>
      <w:r w:rsidRPr="00D510CA">
        <w:rPr>
          <w:i/>
          <w:iCs/>
        </w:rPr>
        <w:t>Pseudomonas aeruginosa</w:t>
      </w:r>
      <w:r w:rsidRPr="00E859ED">
        <w:rPr>
          <w:rFonts w:ascii="Arial" w:hAnsi="Arial" w:cs="Arial"/>
        </w:rPr>
        <w:t xml:space="preserve">. </w:t>
      </w:r>
      <w:r w:rsidR="00D510CA">
        <w:rPr>
          <w:rFonts w:ascii="Arial" w:hAnsi="Arial" w:cs="Arial"/>
        </w:rPr>
        <w:t xml:space="preserve">In the early 2000s, </w:t>
      </w:r>
      <w:r w:rsidR="00DE0862" w:rsidRPr="00E859ED">
        <w:rPr>
          <w:rFonts w:ascii="Arial" w:hAnsi="Arial" w:cs="Arial"/>
        </w:rPr>
        <w:t xml:space="preserve">rates of reported MRSA bacteraemia and CDI declined over time, a testament to the success of the interventions introduced to reduce these infections. </w:t>
      </w:r>
      <w:r w:rsidR="00D510CA">
        <w:rPr>
          <w:rFonts w:ascii="Arial" w:hAnsi="Arial" w:cs="Arial"/>
        </w:rPr>
        <w:t>T</w:t>
      </w:r>
      <w:r w:rsidR="00DE0862" w:rsidRPr="00E859ED">
        <w:rPr>
          <w:rFonts w:ascii="Arial" w:hAnsi="Arial" w:cs="Arial"/>
        </w:rPr>
        <w:t xml:space="preserve">hese declines were observed in both hospital-onset and community-onset cases. However, </w:t>
      </w:r>
      <w:r w:rsidR="00D510CA">
        <w:rPr>
          <w:rFonts w:ascii="Arial" w:hAnsi="Arial" w:cs="Arial"/>
        </w:rPr>
        <w:t>since April 2020,</w:t>
      </w:r>
      <w:r w:rsidR="00DE0862" w:rsidRPr="00E859ED">
        <w:rPr>
          <w:rFonts w:ascii="Arial" w:hAnsi="Arial" w:cs="Arial"/>
        </w:rPr>
        <w:t xml:space="preserve"> the number of hospital-onset MRSA bacteraemia cases increased. This annual increase in hospital-onset MRSA </w:t>
      </w:r>
      <w:r w:rsidR="00D510CA">
        <w:rPr>
          <w:rFonts w:ascii="Arial" w:hAnsi="Arial" w:cs="Arial"/>
        </w:rPr>
        <w:t>is of national concern, with recent data showing an increase in paediatric cases</w:t>
      </w:r>
      <w:r w:rsidR="00B32219" w:rsidRPr="00E859ED">
        <w:rPr>
          <w:rFonts w:ascii="Arial" w:hAnsi="Arial" w:cs="Arial"/>
        </w:rPr>
        <w:t xml:space="preserve">. </w:t>
      </w:r>
      <w:r w:rsidR="00840D23" w:rsidRPr="00E859ED">
        <w:rPr>
          <w:rFonts w:ascii="Arial" w:hAnsi="Arial" w:cs="Arial"/>
        </w:rPr>
        <w:t>T</w:t>
      </w:r>
      <w:r w:rsidR="00431871" w:rsidRPr="00E859ED">
        <w:rPr>
          <w:rFonts w:ascii="Arial" w:hAnsi="Arial" w:cs="Arial"/>
        </w:rPr>
        <w:t xml:space="preserve">he overall rates of </w:t>
      </w:r>
      <w:r w:rsidR="00431871" w:rsidRPr="00E859ED">
        <w:rPr>
          <w:rFonts w:ascii="Arial" w:hAnsi="Arial" w:cs="Arial"/>
          <w:i/>
          <w:iCs/>
        </w:rPr>
        <w:t>E. coli, Klebsiella spp</w:t>
      </w:r>
      <w:r w:rsidR="00431871" w:rsidRPr="00E859ED">
        <w:rPr>
          <w:rFonts w:ascii="Arial" w:hAnsi="Arial" w:cs="Arial"/>
        </w:rPr>
        <w:t xml:space="preserve">. and MSSA </w:t>
      </w:r>
      <w:r w:rsidR="00413865" w:rsidRPr="00E859ED">
        <w:rPr>
          <w:rFonts w:ascii="Arial" w:hAnsi="Arial" w:cs="Arial"/>
        </w:rPr>
        <w:t>bacteremia</w:t>
      </w:r>
      <w:r w:rsidR="00431871" w:rsidRPr="00E859ED">
        <w:rPr>
          <w:rFonts w:ascii="Arial" w:hAnsi="Arial" w:cs="Arial"/>
        </w:rPr>
        <w:t xml:space="preserve"> rates ha</w:t>
      </w:r>
      <w:r w:rsidR="00840D23" w:rsidRPr="00E859ED">
        <w:rPr>
          <w:rFonts w:ascii="Arial" w:hAnsi="Arial" w:cs="Arial"/>
        </w:rPr>
        <w:t>ve</w:t>
      </w:r>
      <w:r w:rsidR="00431871" w:rsidRPr="00E859ED">
        <w:rPr>
          <w:rFonts w:ascii="Arial" w:hAnsi="Arial" w:cs="Arial"/>
        </w:rPr>
        <w:t xml:space="preserve"> generally been increasing since the start of their respective enhanced surveillance</w:t>
      </w:r>
      <w:r w:rsidR="00B32219" w:rsidRPr="00E859ED">
        <w:rPr>
          <w:rFonts w:ascii="Arial" w:hAnsi="Arial" w:cs="Arial"/>
        </w:rPr>
        <w:t xml:space="preserve"> schemes</w:t>
      </w:r>
      <w:r w:rsidR="00431871" w:rsidRPr="00E859ED">
        <w:rPr>
          <w:rFonts w:ascii="Arial" w:hAnsi="Arial" w:cs="Arial"/>
        </w:rPr>
        <w:t>, with the most prominent rises seen among the community-onset cases.</w:t>
      </w:r>
      <w:r w:rsidR="00413865" w:rsidRPr="00E859ED">
        <w:rPr>
          <w:rFonts w:ascii="Arial" w:hAnsi="Arial" w:cs="Arial"/>
        </w:rPr>
        <w:t xml:space="preserve"> </w:t>
      </w:r>
      <w:r w:rsidR="00D510CA">
        <w:rPr>
          <w:rFonts w:ascii="Arial" w:hAnsi="Arial" w:cs="Arial"/>
        </w:rPr>
        <w:t xml:space="preserve">In 2024-25, CDI rates significantly </w:t>
      </w:r>
      <w:r w:rsidR="00C22859">
        <w:rPr>
          <w:rFonts w:ascii="Arial" w:hAnsi="Arial" w:cs="Arial"/>
        </w:rPr>
        <w:t>increased,</w:t>
      </w:r>
      <w:r w:rsidR="00D510CA">
        <w:rPr>
          <w:rFonts w:ascii="Arial" w:hAnsi="Arial" w:cs="Arial"/>
        </w:rPr>
        <w:t xml:space="preserve"> and a national incident has been declared.</w:t>
      </w:r>
    </w:p>
    <w:p w14:paraId="5667DC0F" w14:textId="77777777" w:rsidR="00A53B3C" w:rsidRPr="00E859ED" w:rsidRDefault="00A53B3C" w:rsidP="00A53B3C">
      <w:pPr>
        <w:pStyle w:val="Body"/>
        <w:rPr>
          <w:rFonts w:ascii="Arial" w:hAnsi="Arial" w:cs="Arial"/>
        </w:rPr>
      </w:pPr>
    </w:p>
    <w:p w14:paraId="69720D3B" w14:textId="77777777" w:rsidR="00840D23" w:rsidRPr="00E859ED" w:rsidRDefault="00A53B3C" w:rsidP="008850FD">
      <w:pPr>
        <w:pStyle w:val="Body"/>
        <w:rPr>
          <w:rFonts w:ascii="Arial" w:hAnsi="Arial" w:cs="Arial"/>
        </w:rPr>
      </w:pPr>
      <w:r w:rsidRPr="00E859ED">
        <w:rPr>
          <w:rFonts w:ascii="Arial" w:hAnsi="Arial" w:cs="Arial"/>
        </w:rPr>
        <w:t>In the United Kingdom</w:t>
      </w:r>
      <w:r w:rsidR="00B32219" w:rsidRPr="00E859ED">
        <w:rPr>
          <w:rFonts w:ascii="Arial" w:hAnsi="Arial" w:cs="Arial"/>
        </w:rPr>
        <w:t>,</w:t>
      </w:r>
      <w:r w:rsidRPr="00E859ED">
        <w:rPr>
          <w:rFonts w:ascii="Arial" w:hAnsi="Arial" w:cs="Arial"/>
        </w:rPr>
        <w:t xml:space="preserve"> the rise and spread of antimicrobial resistance (AMR) </w:t>
      </w:r>
      <w:r w:rsidR="00B32219" w:rsidRPr="00E859ED">
        <w:rPr>
          <w:rFonts w:ascii="Arial" w:hAnsi="Arial" w:cs="Arial"/>
        </w:rPr>
        <w:t xml:space="preserve">is </w:t>
      </w:r>
      <w:r w:rsidR="00840D23" w:rsidRPr="00E859ED">
        <w:rPr>
          <w:rFonts w:ascii="Arial" w:hAnsi="Arial" w:cs="Arial"/>
        </w:rPr>
        <w:t>likely to pose an increasing threat</w:t>
      </w:r>
      <w:r w:rsidR="00B32219" w:rsidRPr="00E859ED">
        <w:rPr>
          <w:rFonts w:ascii="Arial" w:hAnsi="Arial" w:cs="Arial"/>
        </w:rPr>
        <w:t xml:space="preserve"> </w:t>
      </w:r>
      <w:r w:rsidR="00840D23" w:rsidRPr="00E859ED">
        <w:rPr>
          <w:rFonts w:ascii="Arial" w:hAnsi="Arial" w:cs="Arial"/>
        </w:rPr>
        <w:t>over</w:t>
      </w:r>
      <w:r w:rsidR="00B32219" w:rsidRPr="00E859ED">
        <w:rPr>
          <w:rFonts w:ascii="Arial" w:hAnsi="Arial" w:cs="Arial"/>
        </w:rPr>
        <w:t xml:space="preserve"> the coming </w:t>
      </w:r>
      <w:r w:rsidR="00840D23" w:rsidRPr="00E859ED">
        <w:rPr>
          <w:rFonts w:ascii="Arial" w:hAnsi="Arial" w:cs="Arial"/>
        </w:rPr>
        <w:t>years</w:t>
      </w:r>
      <w:r w:rsidRPr="00E859ED">
        <w:rPr>
          <w:rFonts w:ascii="Arial" w:hAnsi="Arial" w:cs="Arial"/>
        </w:rPr>
        <w:t>.</w:t>
      </w:r>
      <w:r w:rsidR="00840D23" w:rsidRPr="00E859ED">
        <w:rPr>
          <w:rFonts w:ascii="Arial" w:hAnsi="Arial" w:cs="Arial"/>
        </w:rPr>
        <w:t xml:space="preserve"> A focus for concern is escalating resistance in Gram-negative infections, specifically </w:t>
      </w:r>
      <w:r w:rsidR="008850FD" w:rsidRPr="00E859ED">
        <w:rPr>
          <w:rFonts w:ascii="Arial" w:hAnsi="Arial" w:cs="Arial"/>
        </w:rPr>
        <w:t>bacteria resistant to broad-spectrum antibiotics including carbapenemase-producing organisms (CPOs)</w:t>
      </w:r>
      <w:r w:rsidR="00840D23" w:rsidRPr="00E859ED">
        <w:rPr>
          <w:rFonts w:ascii="Arial" w:hAnsi="Arial" w:cs="Arial"/>
        </w:rPr>
        <w:t xml:space="preserve">. </w:t>
      </w:r>
      <w:r w:rsidR="008850FD" w:rsidRPr="00E859ED">
        <w:rPr>
          <w:rFonts w:ascii="Arial" w:hAnsi="Arial" w:cs="Arial"/>
        </w:rPr>
        <w:t>CPOs may be</w:t>
      </w:r>
      <w:r w:rsidR="00840D23" w:rsidRPr="00E859ED">
        <w:rPr>
          <w:rFonts w:ascii="Arial" w:hAnsi="Arial" w:cs="Arial"/>
        </w:rPr>
        <w:t xml:space="preserve"> acquir</w:t>
      </w:r>
      <w:r w:rsidR="008850FD" w:rsidRPr="00E859ED">
        <w:rPr>
          <w:rFonts w:ascii="Arial" w:hAnsi="Arial" w:cs="Arial"/>
        </w:rPr>
        <w:t xml:space="preserve">ed </w:t>
      </w:r>
      <w:r w:rsidR="00840D23" w:rsidRPr="00E859ED">
        <w:rPr>
          <w:rFonts w:ascii="Arial" w:hAnsi="Arial" w:cs="Arial"/>
        </w:rPr>
        <w:t xml:space="preserve">from </w:t>
      </w:r>
      <w:r w:rsidR="008850FD" w:rsidRPr="00E859ED">
        <w:rPr>
          <w:rFonts w:ascii="Arial" w:hAnsi="Arial" w:cs="Arial"/>
        </w:rPr>
        <w:t xml:space="preserve">outside the UK, from other NHS providers or from </w:t>
      </w:r>
      <w:r w:rsidR="00840D23" w:rsidRPr="00E859ED">
        <w:rPr>
          <w:rFonts w:ascii="Arial" w:hAnsi="Arial" w:cs="Arial"/>
        </w:rPr>
        <w:t>another person</w:t>
      </w:r>
      <w:r w:rsidR="008850FD" w:rsidRPr="00E859ED">
        <w:rPr>
          <w:rFonts w:ascii="Arial" w:hAnsi="Arial" w:cs="Arial"/>
        </w:rPr>
        <w:t xml:space="preserve"> in our hospital </w:t>
      </w:r>
      <w:r w:rsidR="00840D23" w:rsidRPr="00E859ED">
        <w:rPr>
          <w:rFonts w:ascii="Arial" w:hAnsi="Arial" w:cs="Arial"/>
        </w:rPr>
        <w:t>and</w:t>
      </w:r>
      <w:r w:rsidR="008850FD" w:rsidRPr="00E859ED">
        <w:rPr>
          <w:rFonts w:ascii="Arial" w:hAnsi="Arial" w:cs="Arial"/>
        </w:rPr>
        <w:t xml:space="preserve"> infection can be triggered </w:t>
      </w:r>
      <w:r w:rsidR="00840D23" w:rsidRPr="00E859ED">
        <w:rPr>
          <w:rFonts w:ascii="Arial" w:hAnsi="Arial" w:cs="Arial"/>
        </w:rPr>
        <w:t>following prolonged antibiotic exposure</w:t>
      </w:r>
      <w:r w:rsidR="008850FD" w:rsidRPr="00E859ED">
        <w:rPr>
          <w:rFonts w:ascii="Arial" w:hAnsi="Arial" w:cs="Arial"/>
        </w:rPr>
        <w:t xml:space="preserve"> or procedures</w:t>
      </w:r>
      <w:r w:rsidR="00840D23" w:rsidRPr="00E859ED">
        <w:rPr>
          <w:rFonts w:ascii="Arial" w:hAnsi="Arial" w:cs="Arial"/>
        </w:rPr>
        <w:t xml:space="preserve">. As </w:t>
      </w:r>
      <w:r w:rsidR="008850FD" w:rsidRPr="00E859ED">
        <w:rPr>
          <w:rFonts w:ascii="Arial" w:hAnsi="Arial" w:cs="Arial"/>
        </w:rPr>
        <w:t>multi-resistant</w:t>
      </w:r>
      <w:r w:rsidR="00840D23" w:rsidRPr="00E859ED">
        <w:rPr>
          <w:rFonts w:ascii="Arial" w:hAnsi="Arial" w:cs="Arial"/>
        </w:rPr>
        <w:t xml:space="preserve"> infections increase, e</w:t>
      </w:r>
      <w:r w:rsidR="00B32219" w:rsidRPr="00E859ED">
        <w:rPr>
          <w:rFonts w:ascii="Arial" w:hAnsi="Arial" w:cs="Arial"/>
        </w:rPr>
        <w:t>mpiric antibiotic therapy will be less likely to be effective</w:t>
      </w:r>
      <w:r w:rsidR="008850FD" w:rsidRPr="00E859ED">
        <w:rPr>
          <w:rFonts w:ascii="Arial" w:hAnsi="Arial" w:cs="Arial"/>
        </w:rPr>
        <w:t xml:space="preserve"> and previously treatable</w:t>
      </w:r>
      <w:r w:rsidR="00B32219" w:rsidRPr="00E859ED">
        <w:rPr>
          <w:rFonts w:ascii="Arial" w:hAnsi="Arial" w:cs="Arial"/>
        </w:rPr>
        <w:t xml:space="preserve"> complications from routine surgery and oncology treatments may be more difficult to control</w:t>
      </w:r>
      <w:r w:rsidR="008850FD" w:rsidRPr="00E859ED">
        <w:rPr>
          <w:rFonts w:ascii="Arial" w:hAnsi="Arial" w:cs="Arial"/>
        </w:rPr>
        <w:t xml:space="preserve">. It is already evident that </w:t>
      </w:r>
      <w:r w:rsidR="00B32219" w:rsidRPr="00E859ED">
        <w:rPr>
          <w:rFonts w:ascii="Arial" w:hAnsi="Arial" w:cs="Arial"/>
        </w:rPr>
        <w:t>simple infections</w:t>
      </w:r>
      <w:r w:rsidR="008850FD" w:rsidRPr="00E859ED">
        <w:rPr>
          <w:rFonts w:ascii="Arial" w:hAnsi="Arial" w:cs="Arial"/>
        </w:rPr>
        <w:t xml:space="preserve"> such as urinary infections</w:t>
      </w:r>
      <w:r w:rsidR="00B32219" w:rsidRPr="00E859ED">
        <w:rPr>
          <w:rFonts w:ascii="Arial" w:hAnsi="Arial" w:cs="Arial"/>
        </w:rPr>
        <w:t xml:space="preserve"> in the community may not </w:t>
      </w:r>
      <w:r w:rsidR="008850FD" w:rsidRPr="00E859ED">
        <w:rPr>
          <w:rFonts w:ascii="Arial" w:hAnsi="Arial" w:cs="Arial"/>
        </w:rPr>
        <w:t>be treatable using</w:t>
      </w:r>
      <w:r w:rsidR="00B32219" w:rsidRPr="00E859ED">
        <w:rPr>
          <w:rFonts w:ascii="Arial" w:hAnsi="Arial" w:cs="Arial"/>
        </w:rPr>
        <w:t xml:space="preserve"> oral antibiotic therapy.</w:t>
      </w:r>
    </w:p>
    <w:p w14:paraId="577282D9" w14:textId="77777777" w:rsidR="00840D23" w:rsidRPr="00E859ED" w:rsidRDefault="00840D23" w:rsidP="00A53B3C">
      <w:pPr>
        <w:pStyle w:val="Body"/>
        <w:rPr>
          <w:rFonts w:ascii="Arial" w:hAnsi="Arial" w:cs="Arial"/>
        </w:rPr>
      </w:pPr>
    </w:p>
    <w:p w14:paraId="5F12A6AE" w14:textId="77777777" w:rsidR="00A53B3C" w:rsidRPr="00E859ED" w:rsidRDefault="00B32219" w:rsidP="00E859ED">
      <w:pPr>
        <w:shd w:val="clear" w:color="auto" w:fill="FFFFFF"/>
        <w:rPr>
          <w:sz w:val="22"/>
          <w:szCs w:val="22"/>
        </w:rPr>
      </w:pPr>
      <w:r w:rsidRPr="00E859ED">
        <w:rPr>
          <w:sz w:val="22"/>
          <w:szCs w:val="22"/>
        </w:rPr>
        <w:lastRenderedPageBreak/>
        <w:t xml:space="preserve">It is </w:t>
      </w:r>
      <w:r w:rsidR="00A53B3C" w:rsidRPr="00E859ED">
        <w:rPr>
          <w:sz w:val="22"/>
          <w:szCs w:val="22"/>
        </w:rPr>
        <w:t>estimated</w:t>
      </w:r>
      <w:r w:rsidRPr="00E859ED">
        <w:rPr>
          <w:sz w:val="22"/>
          <w:szCs w:val="22"/>
        </w:rPr>
        <w:t xml:space="preserve"> that</w:t>
      </w:r>
      <w:r w:rsidR="00D510CA">
        <w:t xml:space="preserve"> in </w:t>
      </w:r>
      <w:r w:rsidR="00D510CA" w:rsidRPr="00E859ED">
        <w:rPr>
          <w:sz w:val="22"/>
          <w:szCs w:val="18"/>
        </w:rPr>
        <w:t>2019</w:t>
      </w:r>
      <w:r w:rsidR="00D510CA">
        <w:t xml:space="preserve">, </w:t>
      </w:r>
      <w:r w:rsidR="00D510CA" w:rsidRPr="00E859ED">
        <w:rPr>
          <w:sz w:val="22"/>
          <w:szCs w:val="22"/>
        </w:rPr>
        <w:t>bacterial AMR led to 1.14 million</w:t>
      </w:r>
      <w:r w:rsidR="00D510CA">
        <w:rPr>
          <w:sz w:val="22"/>
          <w:szCs w:val="22"/>
        </w:rPr>
        <w:t xml:space="preserve"> global</w:t>
      </w:r>
      <w:r w:rsidR="00D510CA" w:rsidRPr="00E859ED">
        <w:rPr>
          <w:sz w:val="22"/>
          <w:szCs w:val="22"/>
        </w:rPr>
        <w:t xml:space="preserve"> deaths (</w:t>
      </w:r>
      <w:r w:rsidR="00D510CA" w:rsidRPr="00E859ED">
        <w:rPr>
          <w:rFonts w:eastAsia="Times New Roman"/>
          <w:color w:val="333333"/>
          <w:sz w:val="22"/>
          <w:szCs w:val="22"/>
          <w:lang w:eastAsia="en-GB"/>
        </w:rPr>
        <w:t xml:space="preserve">Naghavi, Mohsen et al. The Lancet, Volume 404, Issue 10459, 1199 – 1226) </w:t>
      </w:r>
      <w:r w:rsidR="00D510CA" w:rsidRPr="00E859ED">
        <w:rPr>
          <w:sz w:val="22"/>
          <w:szCs w:val="22"/>
        </w:rPr>
        <w:t>and</w:t>
      </w:r>
      <w:r w:rsidRPr="00E859ED">
        <w:rPr>
          <w:sz w:val="22"/>
          <w:szCs w:val="22"/>
        </w:rPr>
        <w:t xml:space="preserve"> this</w:t>
      </w:r>
      <w:r w:rsidR="00A53B3C" w:rsidRPr="00E859ED">
        <w:rPr>
          <w:sz w:val="22"/>
          <w:szCs w:val="22"/>
        </w:rPr>
        <w:t xml:space="preserve"> is predicted to rise to 10 million by 2050 if no action is taken (HM Government 2019). </w:t>
      </w:r>
      <w:r w:rsidR="008850FD" w:rsidRPr="00E859ED">
        <w:rPr>
          <w:sz w:val="22"/>
          <w:szCs w:val="22"/>
        </w:rPr>
        <w:t>E</w:t>
      </w:r>
      <w:r w:rsidR="00840D23" w:rsidRPr="00E859ED">
        <w:rPr>
          <w:sz w:val="22"/>
          <w:szCs w:val="22"/>
        </w:rPr>
        <w:t xml:space="preserve">ffective infection prevention and control measures as well as good antimicrobial stewardship are required to tackle this issue. </w:t>
      </w:r>
      <w:r w:rsidR="000624AA" w:rsidRPr="00E859ED">
        <w:rPr>
          <w:sz w:val="22"/>
          <w:szCs w:val="22"/>
        </w:rPr>
        <w:t>In January 20</w:t>
      </w:r>
      <w:r w:rsidR="00D510CA">
        <w:rPr>
          <w:sz w:val="22"/>
          <w:szCs w:val="22"/>
        </w:rPr>
        <w:t>24</w:t>
      </w:r>
      <w:r w:rsidR="000624AA" w:rsidRPr="00E859ED">
        <w:rPr>
          <w:sz w:val="22"/>
          <w:szCs w:val="22"/>
        </w:rPr>
        <w:t xml:space="preserve">, the UK government published its </w:t>
      </w:r>
      <w:r w:rsidR="00D510CA">
        <w:rPr>
          <w:sz w:val="22"/>
          <w:szCs w:val="22"/>
        </w:rPr>
        <w:t xml:space="preserve">new national action plan and a </w:t>
      </w:r>
      <w:r w:rsidR="000624AA" w:rsidRPr="00E859ED">
        <w:rPr>
          <w:sz w:val="22"/>
          <w:szCs w:val="22"/>
        </w:rPr>
        <w:t>vision for AMR to be contained and controlled</w:t>
      </w:r>
      <w:r w:rsidR="00D433D2">
        <w:rPr>
          <w:sz w:val="22"/>
          <w:szCs w:val="22"/>
        </w:rPr>
        <w:t>, and IPC is a top priority in this plan</w:t>
      </w:r>
      <w:r w:rsidR="000624AA" w:rsidRPr="00E859ED">
        <w:rPr>
          <w:sz w:val="22"/>
          <w:szCs w:val="22"/>
        </w:rPr>
        <w:t xml:space="preserve">. The vision recognises that a global problem as significant and complex as AMR requires a long-term course of action that progressively strengthens our understanding of AMR and </w:t>
      </w:r>
      <w:r w:rsidR="00840D23" w:rsidRPr="00E859ED">
        <w:rPr>
          <w:sz w:val="22"/>
          <w:szCs w:val="22"/>
        </w:rPr>
        <w:t>how we are best placed</w:t>
      </w:r>
      <w:r w:rsidR="000624AA" w:rsidRPr="00E859ED">
        <w:rPr>
          <w:sz w:val="22"/>
          <w:szCs w:val="22"/>
        </w:rPr>
        <w:t xml:space="preserve"> to contain and control it.</w:t>
      </w:r>
    </w:p>
    <w:p w14:paraId="699157F8" w14:textId="77777777" w:rsidR="00A53B3C" w:rsidRPr="00E859ED" w:rsidRDefault="00A53B3C" w:rsidP="00A53B3C">
      <w:pPr>
        <w:pStyle w:val="Body"/>
        <w:rPr>
          <w:rFonts w:ascii="Arial" w:hAnsi="Arial" w:cs="Arial"/>
        </w:rPr>
      </w:pPr>
    </w:p>
    <w:p w14:paraId="07E8C17A" w14:textId="77777777" w:rsidR="00A53B3C" w:rsidRPr="00E859ED" w:rsidRDefault="00A53B3C" w:rsidP="00A53B3C">
      <w:pPr>
        <w:pStyle w:val="Body"/>
        <w:rPr>
          <w:rFonts w:ascii="Arial" w:hAnsi="Arial" w:cs="Arial"/>
        </w:rPr>
      </w:pPr>
      <w:r w:rsidRPr="00E859ED">
        <w:rPr>
          <w:rFonts w:ascii="Arial" w:hAnsi="Arial" w:cs="Arial"/>
        </w:rPr>
        <w:t>With this knowledge</w:t>
      </w:r>
      <w:r w:rsidR="008850FD" w:rsidRPr="00E859ED">
        <w:rPr>
          <w:rFonts w:ascii="Arial" w:hAnsi="Arial" w:cs="Arial"/>
        </w:rPr>
        <w:t>,</w:t>
      </w:r>
      <w:r w:rsidRPr="00E859ED">
        <w:rPr>
          <w:rFonts w:ascii="Arial" w:hAnsi="Arial" w:cs="Arial"/>
        </w:rPr>
        <w:t xml:space="preserve"> patient safety must remain a cornerstone of care, and preventing healthcare-associated infections</w:t>
      </w:r>
      <w:r w:rsidR="00840D23" w:rsidRPr="00E859ED">
        <w:rPr>
          <w:rFonts w:ascii="Arial" w:hAnsi="Arial" w:cs="Arial"/>
        </w:rPr>
        <w:t>, including those caused by AMR organisms,</w:t>
      </w:r>
      <w:r w:rsidRPr="00E859ED">
        <w:rPr>
          <w:rFonts w:ascii="Arial" w:hAnsi="Arial" w:cs="Arial"/>
        </w:rPr>
        <w:t xml:space="preserve"> should remain a priority</w:t>
      </w:r>
      <w:r w:rsidR="00840D23" w:rsidRPr="00E859ED">
        <w:rPr>
          <w:rFonts w:ascii="Arial" w:hAnsi="Arial" w:cs="Arial"/>
        </w:rPr>
        <w:t xml:space="preserve"> for our organisation.</w:t>
      </w:r>
    </w:p>
    <w:p w14:paraId="07532CE1" w14:textId="77777777" w:rsidR="00A53B3C" w:rsidRPr="00D706C0" w:rsidRDefault="00A53B3C" w:rsidP="00A53B3C">
      <w:pPr>
        <w:sectPr w:rsidR="00A53B3C" w:rsidRPr="00D706C0" w:rsidSect="00684A8E">
          <w:headerReference w:type="default" r:id="rId8"/>
          <w:footerReference w:type="even" r:id="rId9"/>
          <w:footerReference w:type="default" r:id="rId10"/>
          <w:pgSz w:w="11906" w:h="16838" w:code="9"/>
          <w:pgMar w:top="1440" w:right="1440" w:bottom="1440" w:left="1440" w:header="706" w:footer="706" w:gutter="0"/>
          <w:cols w:space="708"/>
          <w:docGrid w:linePitch="360"/>
        </w:sectPr>
      </w:pPr>
      <w:r w:rsidRPr="00E859ED">
        <w:rPr>
          <w:sz w:val="22"/>
          <w:szCs w:val="22"/>
        </w:rPr>
        <w:br w:type="page"/>
      </w:r>
    </w:p>
    <w:p w14:paraId="1CED7920" w14:textId="77777777" w:rsidR="00F36E11" w:rsidRPr="00CF30E3" w:rsidRDefault="002D5277" w:rsidP="00F36E11">
      <w:pPr>
        <w:spacing w:before="200" w:after="200"/>
        <w:rPr>
          <w:rFonts w:eastAsia="Times New Roman"/>
          <w:bCs/>
          <w:szCs w:val="24"/>
          <w:lang w:eastAsia="en-GB"/>
        </w:rPr>
      </w:pPr>
      <w:r w:rsidRPr="00CF30E3">
        <w:rPr>
          <w:rFonts w:eastAsia="Times New Roman"/>
          <w:b/>
          <w:color w:val="3E80C4"/>
          <w:sz w:val="40"/>
          <w:szCs w:val="34"/>
          <w:lang w:val="en-US" w:eastAsia="en-GB"/>
        </w:rPr>
        <w:lastRenderedPageBreak/>
        <w:t>2 Purpose and Effect</w:t>
      </w:r>
    </w:p>
    <w:p w14:paraId="5D4C7BBE" w14:textId="77777777" w:rsidR="003A3864" w:rsidRPr="00E859ED" w:rsidRDefault="003A3864" w:rsidP="003A3864">
      <w:pPr>
        <w:rPr>
          <w:sz w:val="22"/>
          <w:szCs w:val="18"/>
        </w:rPr>
      </w:pPr>
      <w:r w:rsidRPr="00E859ED">
        <w:rPr>
          <w:sz w:val="22"/>
          <w:szCs w:val="18"/>
        </w:rPr>
        <w:t>The purpose of the policy is to outline the strategic arrangements and individual responsibility for the prevention and control of infection within the Trust.  It sets out criteria by which the Trust will ensure that the risk of HCAI is kept as low as possible.</w:t>
      </w:r>
    </w:p>
    <w:p w14:paraId="5A340DED" w14:textId="77777777" w:rsidR="009F5168" w:rsidRPr="00E859ED" w:rsidRDefault="009F5168" w:rsidP="003A3864">
      <w:pPr>
        <w:rPr>
          <w:sz w:val="22"/>
          <w:szCs w:val="18"/>
        </w:rPr>
      </w:pPr>
    </w:p>
    <w:p w14:paraId="1A071823" w14:textId="77777777" w:rsidR="003A3864" w:rsidRPr="00E859ED" w:rsidRDefault="003A3864" w:rsidP="003A3864">
      <w:pPr>
        <w:rPr>
          <w:sz w:val="22"/>
          <w:szCs w:val="18"/>
        </w:rPr>
      </w:pPr>
      <w:r w:rsidRPr="00E859ED">
        <w:rPr>
          <w:sz w:val="22"/>
          <w:szCs w:val="18"/>
        </w:rPr>
        <w:t>This policy covers the following principal topics:</w:t>
      </w:r>
    </w:p>
    <w:p w14:paraId="1D35C4CB" w14:textId="77777777" w:rsidR="003A3864" w:rsidRPr="00E859ED" w:rsidRDefault="003A3864" w:rsidP="003A3864">
      <w:pPr>
        <w:numPr>
          <w:ilvl w:val="0"/>
          <w:numId w:val="4"/>
        </w:numPr>
        <w:spacing w:before="200" w:after="200"/>
        <w:rPr>
          <w:sz w:val="22"/>
          <w:szCs w:val="18"/>
        </w:rPr>
      </w:pPr>
      <w:r w:rsidRPr="00E859ED">
        <w:rPr>
          <w:sz w:val="22"/>
          <w:szCs w:val="18"/>
        </w:rPr>
        <w:t>Key roles and responsibilities</w:t>
      </w:r>
    </w:p>
    <w:p w14:paraId="32CB5D90" w14:textId="77777777" w:rsidR="003A3864" w:rsidRPr="00E859ED" w:rsidRDefault="003A3864" w:rsidP="003A3864">
      <w:pPr>
        <w:numPr>
          <w:ilvl w:val="0"/>
          <w:numId w:val="4"/>
        </w:numPr>
        <w:spacing w:after="200"/>
        <w:rPr>
          <w:sz w:val="22"/>
          <w:szCs w:val="18"/>
        </w:rPr>
      </w:pPr>
      <w:r w:rsidRPr="00E859ED">
        <w:rPr>
          <w:sz w:val="22"/>
          <w:szCs w:val="18"/>
        </w:rPr>
        <w:t>Outline</w:t>
      </w:r>
      <w:r w:rsidR="009F5168" w:rsidRPr="00E859ED">
        <w:rPr>
          <w:sz w:val="22"/>
          <w:szCs w:val="18"/>
        </w:rPr>
        <w:t>s</w:t>
      </w:r>
      <w:r w:rsidRPr="00E859ED">
        <w:rPr>
          <w:sz w:val="22"/>
          <w:szCs w:val="18"/>
        </w:rPr>
        <w:t xml:space="preserve"> the structure required to deliver the systems and process by which infection prevention and control is managed within LTHT</w:t>
      </w:r>
    </w:p>
    <w:p w14:paraId="3ED13188" w14:textId="77777777" w:rsidR="003A3864" w:rsidRPr="00E859ED" w:rsidRDefault="003A3864" w:rsidP="003A3864">
      <w:pPr>
        <w:numPr>
          <w:ilvl w:val="0"/>
          <w:numId w:val="4"/>
        </w:numPr>
        <w:spacing w:after="200"/>
        <w:rPr>
          <w:sz w:val="22"/>
          <w:szCs w:val="18"/>
        </w:rPr>
      </w:pPr>
      <w:r w:rsidRPr="00E859ED">
        <w:rPr>
          <w:sz w:val="22"/>
          <w:szCs w:val="18"/>
        </w:rPr>
        <w:t xml:space="preserve">Production and implementation of, and compliance with, infection prevention and control guidelines, </w:t>
      </w:r>
      <w:r w:rsidR="00522685" w:rsidRPr="00E859ED">
        <w:rPr>
          <w:sz w:val="22"/>
          <w:szCs w:val="18"/>
        </w:rPr>
        <w:t>procedures,</w:t>
      </w:r>
      <w:r w:rsidRPr="00E859ED">
        <w:rPr>
          <w:sz w:val="22"/>
          <w:szCs w:val="18"/>
        </w:rPr>
        <w:t xml:space="preserve"> and protocols</w:t>
      </w:r>
    </w:p>
    <w:p w14:paraId="7A660E89" w14:textId="77777777" w:rsidR="003A3864" w:rsidRPr="00E859ED" w:rsidRDefault="003A3864" w:rsidP="009F5168">
      <w:pPr>
        <w:rPr>
          <w:sz w:val="22"/>
          <w:szCs w:val="18"/>
        </w:rPr>
      </w:pPr>
      <w:r w:rsidRPr="00E859ED">
        <w:rPr>
          <w:sz w:val="22"/>
          <w:szCs w:val="18"/>
        </w:rPr>
        <w:t>The key principles of this policy are:</w:t>
      </w:r>
    </w:p>
    <w:p w14:paraId="38489FB2" w14:textId="77777777" w:rsidR="009F5168" w:rsidRPr="00E859ED" w:rsidRDefault="009F5168" w:rsidP="009F5168">
      <w:pPr>
        <w:rPr>
          <w:sz w:val="22"/>
          <w:szCs w:val="18"/>
        </w:rPr>
      </w:pPr>
    </w:p>
    <w:p w14:paraId="5523484E" w14:textId="77777777" w:rsidR="003A3864" w:rsidRPr="00E859ED" w:rsidRDefault="003A3864" w:rsidP="003A3864">
      <w:pPr>
        <w:numPr>
          <w:ilvl w:val="0"/>
          <w:numId w:val="4"/>
        </w:numPr>
        <w:spacing w:after="200"/>
        <w:rPr>
          <w:sz w:val="22"/>
          <w:szCs w:val="18"/>
        </w:rPr>
      </w:pPr>
      <w:r w:rsidRPr="00E859ED">
        <w:rPr>
          <w:sz w:val="22"/>
          <w:szCs w:val="18"/>
        </w:rPr>
        <w:t>Arrangements for protecting patients and staff from the risks of HCAI must be clear</w:t>
      </w:r>
    </w:p>
    <w:p w14:paraId="4599AD9B" w14:textId="77777777" w:rsidR="003A3864" w:rsidRPr="00E859ED" w:rsidRDefault="003A3864" w:rsidP="003A3864">
      <w:pPr>
        <w:numPr>
          <w:ilvl w:val="0"/>
          <w:numId w:val="4"/>
        </w:numPr>
        <w:spacing w:after="200"/>
        <w:rPr>
          <w:sz w:val="22"/>
          <w:szCs w:val="18"/>
        </w:rPr>
      </w:pPr>
      <w:r w:rsidRPr="00E859ED">
        <w:rPr>
          <w:sz w:val="22"/>
          <w:szCs w:val="18"/>
        </w:rPr>
        <w:t>Patients presenting with an infection</w:t>
      </w:r>
      <w:r w:rsidR="009F5168" w:rsidRPr="00E859ED">
        <w:rPr>
          <w:sz w:val="22"/>
          <w:szCs w:val="18"/>
        </w:rPr>
        <w:t>,</w:t>
      </w:r>
      <w:r w:rsidRPr="00E859ED">
        <w:rPr>
          <w:sz w:val="22"/>
          <w:szCs w:val="18"/>
        </w:rPr>
        <w:t xml:space="preserve"> or who acquire an infection during treatment</w:t>
      </w:r>
      <w:r w:rsidR="009F5168" w:rsidRPr="00E859ED">
        <w:rPr>
          <w:sz w:val="22"/>
          <w:szCs w:val="18"/>
        </w:rPr>
        <w:t>,</w:t>
      </w:r>
      <w:r w:rsidRPr="00E859ED">
        <w:rPr>
          <w:sz w:val="22"/>
          <w:szCs w:val="18"/>
        </w:rPr>
        <w:t xml:space="preserve"> must be managed appropriately to reduce the risk of transmission</w:t>
      </w:r>
      <w:r w:rsidR="009F5168" w:rsidRPr="00E859ED">
        <w:rPr>
          <w:sz w:val="22"/>
          <w:szCs w:val="18"/>
        </w:rPr>
        <w:t xml:space="preserve"> to other individuals</w:t>
      </w:r>
    </w:p>
    <w:p w14:paraId="33A5E1E9" w14:textId="77777777" w:rsidR="003A3864" w:rsidRPr="00E859ED" w:rsidRDefault="003A3864" w:rsidP="003A3864">
      <w:pPr>
        <w:numPr>
          <w:ilvl w:val="0"/>
          <w:numId w:val="4"/>
        </w:numPr>
        <w:spacing w:after="200"/>
        <w:rPr>
          <w:sz w:val="22"/>
          <w:szCs w:val="18"/>
        </w:rPr>
      </w:pPr>
      <w:r w:rsidRPr="00E859ED">
        <w:rPr>
          <w:sz w:val="22"/>
          <w:szCs w:val="18"/>
        </w:rPr>
        <w:t xml:space="preserve">All staff </w:t>
      </w:r>
      <w:r w:rsidR="006B781F" w:rsidRPr="006B781F">
        <w:rPr>
          <w:sz w:val="22"/>
          <w:szCs w:val="18"/>
        </w:rPr>
        <w:t xml:space="preserve">whose duties are directly or indirectly concerned with patient care </w:t>
      </w:r>
      <w:r w:rsidRPr="00E859ED">
        <w:rPr>
          <w:sz w:val="22"/>
          <w:szCs w:val="18"/>
        </w:rPr>
        <w:t>must adhere to their roles and responsibilities with regard to infection prevention and control</w:t>
      </w:r>
    </w:p>
    <w:p w14:paraId="7DD86FDF" w14:textId="77777777" w:rsidR="003A3864" w:rsidRPr="00E859ED" w:rsidRDefault="003A3864" w:rsidP="003A3864">
      <w:pPr>
        <w:numPr>
          <w:ilvl w:val="0"/>
          <w:numId w:val="4"/>
        </w:numPr>
        <w:spacing w:after="200"/>
        <w:rPr>
          <w:sz w:val="22"/>
          <w:szCs w:val="18"/>
        </w:rPr>
      </w:pPr>
      <w:r w:rsidRPr="00E859ED">
        <w:rPr>
          <w:sz w:val="22"/>
          <w:szCs w:val="18"/>
        </w:rPr>
        <w:t>All staff whose duties are directly or indirectly concerned with patient care must receive information and training appropriate to their role</w:t>
      </w:r>
    </w:p>
    <w:p w14:paraId="7348C21C" w14:textId="77777777" w:rsidR="003A3864" w:rsidRPr="00E859ED" w:rsidRDefault="003A3864" w:rsidP="003A3864">
      <w:pPr>
        <w:numPr>
          <w:ilvl w:val="0"/>
          <w:numId w:val="4"/>
        </w:numPr>
        <w:spacing w:after="200"/>
        <w:rPr>
          <w:sz w:val="22"/>
          <w:szCs w:val="18"/>
        </w:rPr>
      </w:pPr>
      <w:r w:rsidRPr="00E859ED">
        <w:rPr>
          <w:sz w:val="22"/>
          <w:szCs w:val="18"/>
        </w:rPr>
        <w:t>A system must be maintained to ensure that key policies and practices are being generated and monitored effectively</w:t>
      </w:r>
    </w:p>
    <w:p w14:paraId="494B8F01" w14:textId="77777777" w:rsidR="003A3864" w:rsidRPr="00E859ED" w:rsidRDefault="003A3864" w:rsidP="003A3864">
      <w:pPr>
        <w:numPr>
          <w:ilvl w:val="0"/>
          <w:numId w:val="4"/>
        </w:numPr>
        <w:spacing w:after="200"/>
        <w:rPr>
          <w:sz w:val="22"/>
          <w:szCs w:val="18"/>
        </w:rPr>
      </w:pPr>
      <w:r w:rsidRPr="00E859ED">
        <w:rPr>
          <w:sz w:val="22"/>
          <w:szCs w:val="18"/>
        </w:rPr>
        <w:t>A robust process of investigation</w:t>
      </w:r>
      <w:r w:rsidR="00E9091B" w:rsidRPr="00E859ED">
        <w:rPr>
          <w:sz w:val="22"/>
          <w:szCs w:val="18"/>
        </w:rPr>
        <w:t xml:space="preserve"> and feedback</w:t>
      </w:r>
      <w:r w:rsidRPr="00E859ED">
        <w:rPr>
          <w:sz w:val="22"/>
          <w:szCs w:val="18"/>
        </w:rPr>
        <w:t xml:space="preserve"> must be in place to ensure learning from all HCAI incidents occurs</w:t>
      </w:r>
    </w:p>
    <w:p w14:paraId="72B9E351" w14:textId="77777777" w:rsidR="003A3864" w:rsidRPr="00E859ED" w:rsidRDefault="003A3864" w:rsidP="003A3864">
      <w:pPr>
        <w:rPr>
          <w:sz w:val="22"/>
          <w:szCs w:val="18"/>
        </w:rPr>
      </w:pPr>
      <w:r w:rsidRPr="00E859ED">
        <w:rPr>
          <w:sz w:val="22"/>
          <w:szCs w:val="18"/>
        </w:rPr>
        <w:t xml:space="preserve">Provision and monitoring of education in infection prevention and control is listed in the Mandatory training policy </w:t>
      </w:r>
      <w:hyperlink r:id="rId11" w:history="1">
        <w:r w:rsidRPr="00E859ED">
          <w:rPr>
            <w:rStyle w:val="Hyperlink"/>
            <w:sz w:val="22"/>
            <w:szCs w:val="18"/>
          </w:rPr>
          <w:t>(link to policy)</w:t>
        </w:r>
      </w:hyperlink>
      <w:r w:rsidRPr="00E859ED">
        <w:rPr>
          <w:sz w:val="22"/>
          <w:szCs w:val="18"/>
        </w:rPr>
        <w:t>.</w:t>
      </w:r>
    </w:p>
    <w:p w14:paraId="60527EFA" w14:textId="77777777" w:rsidR="00522685" w:rsidRPr="00E859ED" w:rsidRDefault="00522685" w:rsidP="007767FC">
      <w:pPr>
        <w:spacing w:before="200" w:after="200"/>
        <w:rPr>
          <w:rFonts w:eastAsia="Times New Roman"/>
          <w:b/>
          <w:bCs/>
          <w:color w:val="3E80C4"/>
          <w:sz w:val="36"/>
          <w:szCs w:val="32"/>
          <w:lang w:val="en-US" w:eastAsia="en-GB"/>
        </w:rPr>
      </w:pPr>
    </w:p>
    <w:p w14:paraId="57DE3408" w14:textId="77777777" w:rsidR="00522685" w:rsidRDefault="00522685" w:rsidP="007767FC">
      <w:pPr>
        <w:spacing w:before="200" w:after="200"/>
        <w:rPr>
          <w:rFonts w:eastAsia="Times New Roman"/>
          <w:b/>
          <w:bCs/>
          <w:color w:val="3E80C4"/>
          <w:sz w:val="40"/>
          <w:szCs w:val="34"/>
          <w:lang w:val="en-US" w:eastAsia="en-GB"/>
        </w:rPr>
      </w:pPr>
    </w:p>
    <w:p w14:paraId="027EF060" w14:textId="77777777" w:rsidR="00522685" w:rsidRDefault="00522685" w:rsidP="007767FC">
      <w:pPr>
        <w:spacing w:before="200" w:after="200"/>
        <w:rPr>
          <w:rFonts w:eastAsia="Times New Roman"/>
          <w:b/>
          <w:bCs/>
          <w:color w:val="3E80C4"/>
          <w:sz w:val="40"/>
          <w:szCs w:val="34"/>
          <w:lang w:val="en-US" w:eastAsia="en-GB"/>
        </w:rPr>
      </w:pPr>
    </w:p>
    <w:p w14:paraId="5AD841B4" w14:textId="77777777" w:rsidR="00522685" w:rsidRDefault="00522685" w:rsidP="007767FC">
      <w:pPr>
        <w:spacing w:before="200" w:after="200"/>
        <w:rPr>
          <w:rFonts w:eastAsia="Times New Roman"/>
          <w:b/>
          <w:bCs/>
          <w:color w:val="3E80C4"/>
          <w:sz w:val="40"/>
          <w:szCs w:val="34"/>
          <w:lang w:val="en-US" w:eastAsia="en-GB"/>
        </w:rPr>
      </w:pPr>
    </w:p>
    <w:p w14:paraId="355D8464" w14:textId="77777777" w:rsidR="00D433D2" w:rsidRDefault="00D433D2" w:rsidP="007767FC">
      <w:pPr>
        <w:spacing w:before="200" w:after="200"/>
        <w:rPr>
          <w:rFonts w:eastAsia="Times New Roman"/>
          <w:b/>
          <w:bCs/>
          <w:color w:val="3E80C4"/>
          <w:sz w:val="40"/>
          <w:szCs w:val="34"/>
          <w:lang w:val="en-US" w:eastAsia="en-GB"/>
        </w:rPr>
      </w:pPr>
    </w:p>
    <w:p w14:paraId="5FACAD51" w14:textId="77777777" w:rsidR="00522685" w:rsidRDefault="00522685" w:rsidP="007767FC">
      <w:pPr>
        <w:spacing w:before="200" w:after="200"/>
        <w:rPr>
          <w:rFonts w:eastAsia="Times New Roman"/>
          <w:b/>
          <w:bCs/>
          <w:color w:val="3E80C4"/>
          <w:sz w:val="40"/>
          <w:szCs w:val="34"/>
          <w:lang w:val="en-US" w:eastAsia="en-GB"/>
        </w:rPr>
      </w:pPr>
    </w:p>
    <w:p w14:paraId="7E81F714" w14:textId="77777777" w:rsidR="00F36E11" w:rsidRPr="00E859ED" w:rsidRDefault="002D5277" w:rsidP="00F36E11">
      <w:pPr>
        <w:spacing w:before="200" w:after="200"/>
        <w:rPr>
          <w:rFonts w:eastAsia="Times New Roman"/>
          <w:bCs/>
          <w:sz w:val="22"/>
          <w:szCs w:val="22"/>
          <w:lang w:eastAsia="en-GB"/>
        </w:rPr>
      </w:pPr>
      <w:r w:rsidRPr="00CF30E3">
        <w:rPr>
          <w:rFonts w:eastAsia="Times New Roman"/>
          <w:b/>
          <w:color w:val="3E80C4"/>
          <w:sz w:val="40"/>
          <w:szCs w:val="34"/>
          <w:lang w:val="en-US" w:eastAsia="en-GB"/>
        </w:rPr>
        <w:t>3 Key Definitions</w:t>
      </w:r>
    </w:p>
    <w:tbl>
      <w:tblPr>
        <w:tblStyle w:val="TableGrid"/>
        <w:tblW w:w="0" w:type="auto"/>
        <w:tblLook w:val="04A0" w:firstRow="1" w:lastRow="0" w:firstColumn="1" w:lastColumn="0" w:noHBand="0" w:noVBand="1"/>
      </w:tblPr>
      <w:tblGrid>
        <w:gridCol w:w="2754"/>
        <w:gridCol w:w="6262"/>
      </w:tblGrid>
      <w:tr w:rsidR="00CF30E3" w:rsidRPr="00D433D2" w14:paraId="473A13D5" w14:textId="77777777" w:rsidTr="00CF30E3">
        <w:tc>
          <w:tcPr>
            <w:tcW w:w="2802" w:type="dxa"/>
          </w:tcPr>
          <w:p w14:paraId="5AF0C7BB" w14:textId="77777777" w:rsidR="003A3864" w:rsidRPr="00E859ED" w:rsidRDefault="003A3864" w:rsidP="003A3864">
            <w:pPr>
              <w:pStyle w:val="Heading2"/>
              <w:outlineLvl w:val="1"/>
              <w:rPr>
                <w:rFonts w:ascii="Arial" w:hAnsi="Arial" w:cs="Arial"/>
                <w:sz w:val="22"/>
                <w:szCs w:val="22"/>
                <w:u w:val="none"/>
              </w:rPr>
            </w:pPr>
            <w:r w:rsidRPr="00E859ED">
              <w:rPr>
                <w:rFonts w:ascii="Arial" w:hAnsi="Arial" w:cs="Arial"/>
                <w:sz w:val="22"/>
                <w:szCs w:val="22"/>
                <w:u w:val="none"/>
              </w:rPr>
              <w:t>Healthcare Associated Infection (HCAI)</w:t>
            </w:r>
          </w:p>
          <w:p w14:paraId="622B2860" w14:textId="77777777" w:rsidR="00CF30E3" w:rsidRPr="00E859ED" w:rsidRDefault="00CF30E3" w:rsidP="00F36E11">
            <w:pPr>
              <w:spacing w:before="200" w:after="200"/>
              <w:rPr>
                <w:rFonts w:eastAsia="Times New Roman"/>
                <w:bCs/>
                <w:color w:val="FF0000"/>
                <w:sz w:val="22"/>
                <w:szCs w:val="22"/>
                <w:lang w:eastAsia="en-GB"/>
              </w:rPr>
            </w:pPr>
          </w:p>
        </w:tc>
        <w:tc>
          <w:tcPr>
            <w:tcW w:w="6440" w:type="dxa"/>
          </w:tcPr>
          <w:p w14:paraId="2CB8C3BE" w14:textId="77777777" w:rsidR="00CF30E3" w:rsidRPr="00E859ED" w:rsidRDefault="003A3864" w:rsidP="00522685">
            <w:pPr>
              <w:rPr>
                <w:rFonts w:eastAsia="Times New Roman"/>
                <w:bCs/>
                <w:color w:val="FF0000"/>
                <w:sz w:val="22"/>
                <w:szCs w:val="22"/>
                <w:lang w:eastAsia="en-GB"/>
              </w:rPr>
            </w:pPr>
            <w:r w:rsidRPr="00E859ED">
              <w:rPr>
                <w:sz w:val="22"/>
                <w:szCs w:val="18"/>
              </w:rPr>
              <w:t xml:space="preserve">An infection to which an individual (patient, visitor or staff) is exposed or made more susceptible to as a result of them receiving/providing healthcare.  In the case of </w:t>
            </w:r>
            <w:r w:rsidR="006B781F">
              <w:rPr>
                <w:sz w:val="22"/>
                <w:szCs w:val="18"/>
              </w:rPr>
              <w:t>in</w:t>
            </w:r>
            <w:r w:rsidRPr="00E859ED">
              <w:rPr>
                <w:sz w:val="22"/>
                <w:szCs w:val="18"/>
              </w:rPr>
              <w:t>patients, this would be neither present nor incubating at the time of hospital admission.</w:t>
            </w:r>
          </w:p>
        </w:tc>
      </w:tr>
      <w:tr w:rsidR="00CF30E3" w:rsidRPr="00D433D2" w14:paraId="731110A3" w14:textId="77777777" w:rsidTr="00CF30E3">
        <w:tc>
          <w:tcPr>
            <w:tcW w:w="2802" w:type="dxa"/>
          </w:tcPr>
          <w:p w14:paraId="1A17BAFB" w14:textId="77777777" w:rsidR="003A3864" w:rsidRPr="00E859ED" w:rsidRDefault="003A3864" w:rsidP="003A3864">
            <w:pPr>
              <w:pStyle w:val="Heading2"/>
              <w:outlineLvl w:val="1"/>
              <w:rPr>
                <w:rFonts w:ascii="Arial" w:hAnsi="Arial" w:cs="Arial"/>
                <w:sz w:val="22"/>
                <w:szCs w:val="22"/>
                <w:u w:val="none"/>
              </w:rPr>
            </w:pPr>
            <w:r w:rsidRPr="00E859ED">
              <w:rPr>
                <w:rFonts w:ascii="Arial" w:hAnsi="Arial" w:cs="Arial"/>
                <w:sz w:val="22"/>
                <w:szCs w:val="22"/>
                <w:u w:val="none"/>
              </w:rPr>
              <w:t>Audit</w:t>
            </w:r>
          </w:p>
          <w:p w14:paraId="1B6CF88A" w14:textId="77777777" w:rsidR="00CF30E3" w:rsidRPr="00E859ED" w:rsidRDefault="00CF30E3" w:rsidP="00F36E11">
            <w:pPr>
              <w:spacing w:before="200" w:after="200"/>
              <w:rPr>
                <w:rFonts w:eastAsia="Times New Roman"/>
                <w:bCs/>
                <w:color w:val="FF0000"/>
                <w:sz w:val="22"/>
                <w:szCs w:val="22"/>
                <w:lang w:eastAsia="en-GB"/>
              </w:rPr>
            </w:pPr>
          </w:p>
        </w:tc>
        <w:tc>
          <w:tcPr>
            <w:tcW w:w="6440" w:type="dxa"/>
          </w:tcPr>
          <w:p w14:paraId="3E87994E" w14:textId="77777777" w:rsidR="00CF30E3" w:rsidRPr="00E859ED" w:rsidRDefault="003A3864" w:rsidP="00522685">
            <w:pPr>
              <w:rPr>
                <w:rFonts w:eastAsia="Times New Roman"/>
                <w:bCs/>
                <w:color w:val="FF0000"/>
                <w:sz w:val="22"/>
                <w:szCs w:val="22"/>
                <w:lang w:eastAsia="en-GB"/>
              </w:rPr>
            </w:pPr>
            <w:r w:rsidRPr="00E859ED">
              <w:rPr>
                <w:sz w:val="22"/>
                <w:szCs w:val="18"/>
              </w:rPr>
              <w:t>A process to improve patient care through systematic review of care against explicit criteria, thus identifying requirements for change.</w:t>
            </w:r>
          </w:p>
        </w:tc>
      </w:tr>
      <w:tr w:rsidR="00E9091B" w:rsidRPr="00D433D2" w14:paraId="231987B9" w14:textId="77777777" w:rsidTr="00CF30E3">
        <w:tc>
          <w:tcPr>
            <w:tcW w:w="2802" w:type="dxa"/>
          </w:tcPr>
          <w:p w14:paraId="70B82C1B" w14:textId="77777777" w:rsidR="00E9091B" w:rsidRPr="00E859ED" w:rsidRDefault="00E9091B" w:rsidP="003A3864">
            <w:pPr>
              <w:pStyle w:val="Heading2"/>
              <w:outlineLvl w:val="1"/>
              <w:rPr>
                <w:rFonts w:ascii="Arial" w:hAnsi="Arial" w:cs="Arial"/>
                <w:sz w:val="22"/>
                <w:szCs w:val="22"/>
                <w:u w:val="none"/>
              </w:rPr>
            </w:pPr>
            <w:r w:rsidRPr="00E859ED">
              <w:rPr>
                <w:rFonts w:ascii="Arial" w:hAnsi="Arial" w:cs="Arial"/>
                <w:sz w:val="22"/>
                <w:szCs w:val="22"/>
                <w:u w:val="none"/>
              </w:rPr>
              <w:t>Antimicrobial resistance (AMR)</w:t>
            </w:r>
          </w:p>
        </w:tc>
        <w:tc>
          <w:tcPr>
            <w:tcW w:w="6440" w:type="dxa"/>
          </w:tcPr>
          <w:p w14:paraId="6481016A" w14:textId="77777777" w:rsidR="00E9091B" w:rsidRPr="00E859ED" w:rsidRDefault="00E9091B" w:rsidP="003A3864">
            <w:pPr>
              <w:rPr>
                <w:sz w:val="22"/>
                <w:szCs w:val="18"/>
              </w:rPr>
            </w:pPr>
            <w:r w:rsidRPr="00E859ED">
              <w:rPr>
                <w:sz w:val="22"/>
                <w:szCs w:val="18"/>
              </w:rPr>
              <w:t>Microorganisms which have acquired resistance to multiple classes of regularly used antimicrobial agents. This term includes bacterial, viral and fungal pathogens.</w:t>
            </w:r>
          </w:p>
          <w:p w14:paraId="44203838" w14:textId="77777777" w:rsidR="00E9091B" w:rsidRPr="00E859ED" w:rsidRDefault="00E9091B" w:rsidP="003A3864">
            <w:pPr>
              <w:rPr>
                <w:sz w:val="22"/>
                <w:szCs w:val="18"/>
              </w:rPr>
            </w:pPr>
          </w:p>
        </w:tc>
      </w:tr>
      <w:tr w:rsidR="00E9091B" w:rsidRPr="00D433D2" w14:paraId="03366B63" w14:textId="77777777" w:rsidTr="00CF30E3">
        <w:tc>
          <w:tcPr>
            <w:tcW w:w="2802" w:type="dxa"/>
          </w:tcPr>
          <w:p w14:paraId="257893B5" w14:textId="77777777" w:rsidR="00E9091B" w:rsidRPr="00E859ED" w:rsidRDefault="00E9091B" w:rsidP="003A3864">
            <w:pPr>
              <w:pStyle w:val="Heading2"/>
              <w:outlineLvl w:val="1"/>
              <w:rPr>
                <w:rFonts w:ascii="Arial" w:hAnsi="Arial" w:cs="Arial"/>
                <w:sz w:val="22"/>
                <w:szCs w:val="22"/>
                <w:u w:val="none"/>
              </w:rPr>
            </w:pPr>
            <w:r w:rsidRPr="00E859ED">
              <w:rPr>
                <w:rFonts w:ascii="Arial" w:hAnsi="Arial" w:cs="Arial"/>
                <w:sz w:val="22"/>
                <w:szCs w:val="22"/>
                <w:u w:val="none"/>
              </w:rPr>
              <w:t>Gram-negative blood stream infection (GNB BSI)</w:t>
            </w:r>
          </w:p>
        </w:tc>
        <w:tc>
          <w:tcPr>
            <w:tcW w:w="6440" w:type="dxa"/>
          </w:tcPr>
          <w:p w14:paraId="1DC755E1" w14:textId="77777777" w:rsidR="00E9091B" w:rsidRPr="00E859ED" w:rsidRDefault="00E9091B" w:rsidP="003A3864">
            <w:pPr>
              <w:rPr>
                <w:sz w:val="22"/>
                <w:szCs w:val="18"/>
              </w:rPr>
            </w:pPr>
            <w:r w:rsidRPr="00E859ED">
              <w:rPr>
                <w:sz w:val="22"/>
                <w:szCs w:val="18"/>
              </w:rPr>
              <w:t xml:space="preserve">Bacteria present in blood culture samples including </w:t>
            </w:r>
            <w:r w:rsidRPr="00E859ED">
              <w:rPr>
                <w:i/>
                <w:iCs/>
                <w:sz w:val="22"/>
                <w:szCs w:val="18"/>
              </w:rPr>
              <w:t>E</w:t>
            </w:r>
            <w:r w:rsidRPr="00E859ED">
              <w:rPr>
                <w:sz w:val="22"/>
                <w:szCs w:val="18"/>
              </w:rPr>
              <w:t xml:space="preserve"> </w:t>
            </w:r>
            <w:r w:rsidRPr="00E859ED">
              <w:rPr>
                <w:i/>
                <w:iCs/>
                <w:sz w:val="22"/>
                <w:szCs w:val="18"/>
              </w:rPr>
              <w:t>coli,</w:t>
            </w:r>
            <w:r w:rsidRPr="00E859ED">
              <w:rPr>
                <w:sz w:val="22"/>
                <w:szCs w:val="18"/>
              </w:rPr>
              <w:t xml:space="preserve"> </w:t>
            </w:r>
            <w:r w:rsidRPr="00E859ED">
              <w:rPr>
                <w:i/>
                <w:iCs/>
                <w:sz w:val="22"/>
                <w:szCs w:val="18"/>
              </w:rPr>
              <w:t>Klebsiella sp</w:t>
            </w:r>
            <w:r w:rsidR="00522685" w:rsidRPr="00E859ED">
              <w:rPr>
                <w:i/>
                <w:iCs/>
                <w:sz w:val="22"/>
                <w:szCs w:val="18"/>
              </w:rPr>
              <w:t>p</w:t>
            </w:r>
            <w:r w:rsidRPr="00E859ED">
              <w:rPr>
                <w:sz w:val="22"/>
                <w:szCs w:val="18"/>
              </w:rPr>
              <w:t xml:space="preserve"> and </w:t>
            </w:r>
            <w:r w:rsidRPr="00E859ED">
              <w:rPr>
                <w:i/>
                <w:iCs/>
                <w:sz w:val="22"/>
                <w:szCs w:val="18"/>
              </w:rPr>
              <w:t>Pseudomonas aeruginosa</w:t>
            </w:r>
            <w:r w:rsidRPr="00E859ED">
              <w:rPr>
                <w:sz w:val="22"/>
                <w:szCs w:val="18"/>
              </w:rPr>
              <w:t xml:space="preserve">. </w:t>
            </w:r>
            <w:r w:rsidR="006B781F">
              <w:rPr>
                <w:sz w:val="22"/>
                <w:szCs w:val="18"/>
              </w:rPr>
              <w:t>For the purpose of this policy o</w:t>
            </w:r>
            <w:r w:rsidRPr="00E859ED">
              <w:rPr>
                <w:sz w:val="22"/>
                <w:szCs w:val="18"/>
              </w:rPr>
              <w:t xml:space="preserve">ther </w:t>
            </w:r>
            <w:r w:rsidR="00A71EDD" w:rsidRPr="00E859ED">
              <w:rPr>
                <w:sz w:val="22"/>
                <w:szCs w:val="18"/>
              </w:rPr>
              <w:t>Gram-negative</w:t>
            </w:r>
            <w:r w:rsidRPr="00E859ED">
              <w:rPr>
                <w:sz w:val="22"/>
                <w:szCs w:val="18"/>
              </w:rPr>
              <w:t xml:space="preserve"> organisms </w:t>
            </w:r>
            <w:r w:rsidR="006B781F">
              <w:rPr>
                <w:sz w:val="22"/>
                <w:szCs w:val="18"/>
              </w:rPr>
              <w:t xml:space="preserve">that </w:t>
            </w:r>
            <w:r w:rsidRPr="00E859ED">
              <w:rPr>
                <w:sz w:val="22"/>
                <w:szCs w:val="18"/>
              </w:rPr>
              <w:t>are not reportable a</w:t>
            </w:r>
            <w:r w:rsidR="006B781F">
              <w:rPr>
                <w:sz w:val="22"/>
                <w:szCs w:val="18"/>
              </w:rPr>
              <w:t>re</w:t>
            </w:r>
            <w:r w:rsidRPr="00E859ED">
              <w:rPr>
                <w:sz w:val="22"/>
                <w:szCs w:val="18"/>
              </w:rPr>
              <w:t xml:space="preserve"> not included </w:t>
            </w:r>
            <w:r w:rsidR="006B781F">
              <w:rPr>
                <w:sz w:val="22"/>
                <w:szCs w:val="18"/>
              </w:rPr>
              <w:t>when using this</w:t>
            </w:r>
            <w:r w:rsidRPr="00E859ED">
              <w:rPr>
                <w:sz w:val="22"/>
                <w:szCs w:val="18"/>
              </w:rPr>
              <w:t xml:space="preserve"> term.</w:t>
            </w:r>
          </w:p>
        </w:tc>
      </w:tr>
    </w:tbl>
    <w:p w14:paraId="59C275DA" w14:textId="77777777" w:rsidR="00285B64" w:rsidRPr="00E859ED" w:rsidRDefault="00285B64" w:rsidP="00F36E11">
      <w:pPr>
        <w:spacing w:before="200" w:after="200"/>
        <w:rPr>
          <w:rFonts w:eastAsia="Times New Roman"/>
          <w:bCs/>
          <w:sz w:val="22"/>
          <w:szCs w:val="22"/>
          <w:lang w:eastAsia="en-GB"/>
        </w:rPr>
      </w:pPr>
    </w:p>
    <w:p w14:paraId="14301194" w14:textId="77777777" w:rsidR="00285B64" w:rsidRPr="00CF30E3" w:rsidRDefault="003261AF" w:rsidP="00285B64">
      <w:pPr>
        <w:spacing w:before="200" w:after="200"/>
        <w:rPr>
          <w:rFonts w:eastAsia="Times New Roman"/>
          <w:bCs/>
          <w:szCs w:val="24"/>
          <w:lang w:eastAsia="en-GB"/>
        </w:rPr>
      </w:pPr>
      <w:r>
        <w:rPr>
          <w:rFonts w:eastAsia="Times New Roman"/>
          <w:b/>
          <w:color w:val="3E80C4"/>
          <w:sz w:val="40"/>
          <w:szCs w:val="34"/>
          <w:lang w:val="en-US" w:eastAsia="en-GB"/>
        </w:rPr>
        <w:t>4</w:t>
      </w:r>
      <w:r w:rsidR="00285B64" w:rsidRPr="00CF30E3">
        <w:rPr>
          <w:rFonts w:eastAsia="Times New Roman"/>
          <w:b/>
          <w:color w:val="3E80C4"/>
          <w:sz w:val="40"/>
          <w:szCs w:val="34"/>
          <w:lang w:val="en-US" w:eastAsia="en-GB"/>
        </w:rPr>
        <w:t xml:space="preserve"> Key staff and committees/ groups</w:t>
      </w:r>
    </w:p>
    <w:p w14:paraId="131F1C08" w14:textId="77777777" w:rsidR="003A3864" w:rsidRPr="003E628A" w:rsidRDefault="003A3864" w:rsidP="003A3864">
      <w:pPr>
        <w:pStyle w:val="Heading1"/>
        <w:rPr>
          <w:rFonts w:ascii="Arial" w:hAnsi="Arial" w:cs="Arial"/>
          <w:sz w:val="24"/>
          <w:szCs w:val="24"/>
        </w:rPr>
      </w:pPr>
      <w:r w:rsidRPr="003E628A">
        <w:rPr>
          <w:rFonts w:ascii="Arial" w:hAnsi="Arial" w:cs="Arial"/>
          <w:sz w:val="24"/>
          <w:szCs w:val="24"/>
        </w:rPr>
        <w:t>Responsibilities and duties within the organisation</w:t>
      </w:r>
    </w:p>
    <w:p w14:paraId="2B831A67" w14:textId="77777777" w:rsidR="003A3864" w:rsidRDefault="003261AF" w:rsidP="003A3864">
      <w:pPr>
        <w:pStyle w:val="Heading2"/>
        <w:spacing w:before="240"/>
        <w:rPr>
          <w:rFonts w:ascii="Arial" w:hAnsi="Arial" w:cs="Arial"/>
          <w:sz w:val="24"/>
          <w:szCs w:val="24"/>
          <w:u w:val="none"/>
        </w:rPr>
      </w:pPr>
      <w:bookmarkStart w:id="2" w:name="_Toc64283137"/>
      <w:r>
        <w:rPr>
          <w:rFonts w:ascii="Arial" w:hAnsi="Arial" w:cs="Arial"/>
          <w:sz w:val="24"/>
          <w:szCs w:val="24"/>
          <w:u w:val="none"/>
        </w:rPr>
        <w:t>4</w:t>
      </w:r>
      <w:r w:rsidR="003A3864" w:rsidRPr="00E43F01">
        <w:rPr>
          <w:rFonts w:ascii="Arial" w:hAnsi="Arial" w:cs="Arial"/>
          <w:sz w:val="24"/>
          <w:szCs w:val="24"/>
          <w:u w:val="none"/>
        </w:rPr>
        <w:t>.1</w:t>
      </w:r>
      <w:r w:rsidR="003A3864" w:rsidRPr="00E43F01">
        <w:rPr>
          <w:rFonts w:ascii="Arial" w:hAnsi="Arial" w:cs="Arial"/>
          <w:sz w:val="24"/>
          <w:szCs w:val="24"/>
          <w:u w:val="none"/>
        </w:rPr>
        <w:tab/>
        <w:t>Chief Executive</w:t>
      </w:r>
      <w:bookmarkEnd w:id="2"/>
    </w:p>
    <w:p w14:paraId="5F989D6F" w14:textId="77777777" w:rsidR="009F5168" w:rsidRPr="00644F22" w:rsidRDefault="009F5168" w:rsidP="00522685"/>
    <w:p w14:paraId="7CDC981E" w14:textId="77777777" w:rsidR="003A3864" w:rsidRDefault="003A3864" w:rsidP="003A3864">
      <w:pPr>
        <w:rPr>
          <w:sz w:val="22"/>
          <w:szCs w:val="18"/>
        </w:rPr>
      </w:pPr>
      <w:r w:rsidRPr="00E859ED">
        <w:rPr>
          <w:sz w:val="22"/>
          <w:szCs w:val="18"/>
        </w:rPr>
        <w:t>The Chief Executive is accountable for delivering reductions in HCAI and has overall responsibility for ensuring that there are effective arrangements in place for preventing and controlling infection. The Chief Executive will provide visible and active support to this policy and identify the organisational lead for infection prevention (including cleanliness) accountable directly to the Chief Executive.</w:t>
      </w:r>
    </w:p>
    <w:p w14:paraId="35C4AD36" w14:textId="77777777" w:rsidR="00D433D2" w:rsidRPr="00E859ED" w:rsidRDefault="00D433D2" w:rsidP="003A3864">
      <w:pPr>
        <w:rPr>
          <w:sz w:val="22"/>
          <w:szCs w:val="18"/>
        </w:rPr>
      </w:pPr>
    </w:p>
    <w:p w14:paraId="5535C343" w14:textId="77777777" w:rsidR="003A3864" w:rsidRDefault="003A3864" w:rsidP="009F5168">
      <w:pPr>
        <w:rPr>
          <w:sz w:val="22"/>
          <w:szCs w:val="18"/>
        </w:rPr>
      </w:pPr>
      <w:r w:rsidRPr="00E859ED">
        <w:rPr>
          <w:sz w:val="22"/>
          <w:szCs w:val="18"/>
        </w:rPr>
        <w:t xml:space="preserve">The Chief Executive will ensure effective operation and continued improvement of infection prevention and control through designating this as a core part of the clinical governance and patient safety programmes of LTHT.  In particular, this will include ensuring that an </w:t>
      </w:r>
      <w:r w:rsidR="008944C1" w:rsidRPr="00E859ED">
        <w:rPr>
          <w:sz w:val="22"/>
          <w:szCs w:val="18"/>
        </w:rPr>
        <w:t xml:space="preserve">Infection prevention and Control annual plan </w:t>
      </w:r>
      <w:r w:rsidRPr="00E859ED">
        <w:rPr>
          <w:sz w:val="22"/>
          <w:szCs w:val="18"/>
        </w:rPr>
        <w:t>and Board Assurance Framework are in place and that the infection prevention and control infrastructure is adequately resourced.</w:t>
      </w:r>
      <w:r w:rsidR="009F5168" w:rsidRPr="00E859ED">
        <w:rPr>
          <w:sz w:val="22"/>
          <w:szCs w:val="18"/>
        </w:rPr>
        <w:t xml:space="preserve"> </w:t>
      </w:r>
      <w:r w:rsidRPr="00E859ED">
        <w:rPr>
          <w:sz w:val="22"/>
          <w:szCs w:val="18"/>
        </w:rPr>
        <w:t xml:space="preserve">The Chief Executive will be aware of factors within LTHT which promote low levels of HCAI and ensure that the appropriate action is taken to achieve this. </w:t>
      </w:r>
    </w:p>
    <w:p w14:paraId="0A90C898" w14:textId="77777777" w:rsidR="008C1049" w:rsidRDefault="008C1049" w:rsidP="009F5168">
      <w:pPr>
        <w:rPr>
          <w:sz w:val="22"/>
          <w:szCs w:val="18"/>
        </w:rPr>
      </w:pPr>
    </w:p>
    <w:p w14:paraId="6F6C2E3B" w14:textId="77777777" w:rsidR="008C1049" w:rsidRPr="00E859ED" w:rsidRDefault="008C1049" w:rsidP="009F5168">
      <w:pPr>
        <w:rPr>
          <w:sz w:val="22"/>
          <w:szCs w:val="18"/>
        </w:rPr>
      </w:pPr>
    </w:p>
    <w:p w14:paraId="2436846C" w14:textId="77777777" w:rsidR="003A3864" w:rsidRDefault="003261AF" w:rsidP="003A3864">
      <w:pPr>
        <w:pStyle w:val="Heading2"/>
        <w:spacing w:before="240"/>
        <w:rPr>
          <w:rFonts w:ascii="Arial" w:hAnsi="Arial" w:cs="Arial"/>
          <w:sz w:val="24"/>
          <w:szCs w:val="24"/>
          <w:u w:val="none"/>
        </w:rPr>
      </w:pPr>
      <w:bookmarkStart w:id="3" w:name="_Toc64283138"/>
      <w:r>
        <w:rPr>
          <w:rFonts w:ascii="Arial" w:hAnsi="Arial" w:cs="Arial"/>
          <w:sz w:val="24"/>
          <w:szCs w:val="24"/>
          <w:u w:val="none"/>
        </w:rPr>
        <w:t>4</w:t>
      </w:r>
      <w:r w:rsidR="003A3864" w:rsidRPr="00E43F01">
        <w:rPr>
          <w:rFonts w:ascii="Arial" w:hAnsi="Arial" w:cs="Arial"/>
          <w:sz w:val="24"/>
          <w:szCs w:val="24"/>
          <w:u w:val="none"/>
        </w:rPr>
        <w:t>.</w:t>
      </w:r>
      <w:r w:rsidR="00136404">
        <w:rPr>
          <w:rFonts w:ascii="Arial" w:hAnsi="Arial" w:cs="Arial"/>
          <w:sz w:val="24"/>
          <w:szCs w:val="24"/>
          <w:u w:val="none"/>
        </w:rPr>
        <w:t>2</w:t>
      </w:r>
      <w:r w:rsidR="003A3864" w:rsidRPr="00E43F01">
        <w:rPr>
          <w:rFonts w:ascii="Arial" w:hAnsi="Arial" w:cs="Arial"/>
          <w:sz w:val="24"/>
          <w:szCs w:val="24"/>
          <w:u w:val="none"/>
        </w:rPr>
        <w:tab/>
        <w:t>Director of Infection Prevention and Control (DIPC), and Deputy Director of Infection Prevention and Control (DDIPC)</w:t>
      </w:r>
      <w:bookmarkEnd w:id="3"/>
    </w:p>
    <w:p w14:paraId="5A82E7CB" w14:textId="77777777" w:rsidR="009F5168" w:rsidRPr="00644F22" w:rsidRDefault="009F5168" w:rsidP="00522685"/>
    <w:p w14:paraId="6B03384D" w14:textId="77777777" w:rsidR="003A3864" w:rsidRPr="00E859ED" w:rsidRDefault="003A3864" w:rsidP="003A3864">
      <w:pPr>
        <w:rPr>
          <w:sz w:val="22"/>
          <w:szCs w:val="18"/>
        </w:rPr>
      </w:pPr>
      <w:r w:rsidRPr="00E859ED">
        <w:rPr>
          <w:sz w:val="22"/>
          <w:szCs w:val="18"/>
        </w:rPr>
        <w:t xml:space="preserve">The Director </w:t>
      </w:r>
      <w:r w:rsidR="008E35E6">
        <w:rPr>
          <w:sz w:val="22"/>
          <w:szCs w:val="18"/>
        </w:rPr>
        <w:t xml:space="preserve">and Deputy Director </w:t>
      </w:r>
      <w:r w:rsidRPr="00E859ED">
        <w:rPr>
          <w:sz w:val="22"/>
          <w:szCs w:val="18"/>
        </w:rPr>
        <w:t xml:space="preserve">of Infection Prevention and Control (DIPC) is responsible for providing assurance that patients and staff are safe from avoidable HCAI through  </w:t>
      </w:r>
    </w:p>
    <w:p w14:paraId="7593CED7" w14:textId="77777777" w:rsidR="009F5168" w:rsidRPr="00E859ED" w:rsidRDefault="009F5168" w:rsidP="003A3864">
      <w:pPr>
        <w:rPr>
          <w:sz w:val="22"/>
          <w:szCs w:val="18"/>
        </w:rPr>
      </w:pPr>
    </w:p>
    <w:p w14:paraId="42730B76" w14:textId="77777777" w:rsidR="003A3864" w:rsidRPr="00E859ED" w:rsidRDefault="003A3864" w:rsidP="003A3864">
      <w:pPr>
        <w:numPr>
          <w:ilvl w:val="0"/>
          <w:numId w:val="5"/>
        </w:numPr>
        <w:spacing w:after="200"/>
        <w:rPr>
          <w:sz w:val="22"/>
          <w:szCs w:val="18"/>
        </w:rPr>
      </w:pPr>
      <w:r w:rsidRPr="00E859ED">
        <w:rPr>
          <w:sz w:val="22"/>
          <w:szCs w:val="18"/>
        </w:rPr>
        <w:t>Reporting directly to the Chief Executive and the Board</w:t>
      </w:r>
    </w:p>
    <w:p w14:paraId="528B835C" w14:textId="77777777" w:rsidR="003A3864" w:rsidRPr="00E859ED" w:rsidRDefault="003A3864" w:rsidP="003A3864">
      <w:pPr>
        <w:numPr>
          <w:ilvl w:val="0"/>
          <w:numId w:val="5"/>
        </w:numPr>
        <w:spacing w:after="200"/>
        <w:rPr>
          <w:sz w:val="22"/>
          <w:szCs w:val="18"/>
        </w:rPr>
      </w:pPr>
      <w:r w:rsidRPr="00E859ED">
        <w:rPr>
          <w:sz w:val="22"/>
          <w:szCs w:val="18"/>
        </w:rPr>
        <w:lastRenderedPageBreak/>
        <w:t>Reviewing compliance against the Code of Practice on the prevention and control of infections, identifying action to meet compliance, reporting to the Board on compliance and risks</w:t>
      </w:r>
    </w:p>
    <w:p w14:paraId="4D3B43ED" w14:textId="77777777" w:rsidR="003A3864" w:rsidRPr="00E859ED" w:rsidRDefault="003A3864" w:rsidP="003A3864">
      <w:pPr>
        <w:numPr>
          <w:ilvl w:val="0"/>
          <w:numId w:val="5"/>
        </w:numPr>
        <w:spacing w:after="200"/>
        <w:rPr>
          <w:sz w:val="22"/>
          <w:szCs w:val="18"/>
        </w:rPr>
      </w:pPr>
      <w:r w:rsidRPr="00E859ED">
        <w:rPr>
          <w:sz w:val="22"/>
          <w:szCs w:val="18"/>
        </w:rPr>
        <w:t>Taking overall responsibility for the Infection Prevention and Control Team</w:t>
      </w:r>
    </w:p>
    <w:p w14:paraId="75A9BD53" w14:textId="77777777" w:rsidR="003A3864" w:rsidRPr="00E859ED" w:rsidRDefault="003A3864" w:rsidP="003A3864">
      <w:pPr>
        <w:numPr>
          <w:ilvl w:val="0"/>
          <w:numId w:val="5"/>
        </w:numPr>
        <w:spacing w:after="200"/>
        <w:rPr>
          <w:sz w:val="22"/>
          <w:szCs w:val="18"/>
        </w:rPr>
      </w:pPr>
      <w:r w:rsidRPr="00E859ED">
        <w:rPr>
          <w:sz w:val="22"/>
          <w:szCs w:val="18"/>
        </w:rPr>
        <w:t>Overseeing local control of infection prevention and control policies, guidelines and protocols along with their implementation</w:t>
      </w:r>
      <w:r w:rsidR="009F5168" w:rsidRPr="00E859ED">
        <w:rPr>
          <w:sz w:val="22"/>
          <w:szCs w:val="18"/>
        </w:rPr>
        <w:t xml:space="preserve">. </w:t>
      </w:r>
      <w:r w:rsidRPr="00E859ED">
        <w:rPr>
          <w:sz w:val="22"/>
          <w:szCs w:val="18"/>
        </w:rPr>
        <w:t xml:space="preserve">Challenging inappropriate clinical Infection </w:t>
      </w:r>
      <w:r w:rsidR="002E3370" w:rsidRPr="00E859ED">
        <w:rPr>
          <w:sz w:val="22"/>
          <w:szCs w:val="18"/>
        </w:rPr>
        <w:t>prevention practice</w:t>
      </w:r>
      <w:r w:rsidRPr="00E859ED">
        <w:rPr>
          <w:sz w:val="22"/>
          <w:szCs w:val="18"/>
        </w:rPr>
        <w:t xml:space="preserve"> as well as inappropriate antibiotic prescribing decisions</w:t>
      </w:r>
    </w:p>
    <w:p w14:paraId="0BD11E61" w14:textId="77777777" w:rsidR="003A3864" w:rsidRPr="00E859ED" w:rsidRDefault="003A3864" w:rsidP="003A3864">
      <w:pPr>
        <w:numPr>
          <w:ilvl w:val="0"/>
          <w:numId w:val="5"/>
        </w:numPr>
        <w:spacing w:after="200"/>
        <w:rPr>
          <w:sz w:val="22"/>
          <w:szCs w:val="18"/>
        </w:rPr>
      </w:pPr>
      <w:r w:rsidRPr="00E859ED">
        <w:rPr>
          <w:sz w:val="22"/>
          <w:szCs w:val="18"/>
        </w:rPr>
        <w:t>Assessing the impact of all existing and new policies</w:t>
      </w:r>
      <w:r w:rsidR="008E35E6">
        <w:rPr>
          <w:sz w:val="22"/>
          <w:szCs w:val="18"/>
        </w:rPr>
        <w:t xml:space="preserve"> and guidelines </w:t>
      </w:r>
      <w:r w:rsidRPr="00E859ED">
        <w:rPr>
          <w:sz w:val="22"/>
          <w:szCs w:val="18"/>
        </w:rPr>
        <w:t xml:space="preserve"> on HCAI and making recommendations for change</w:t>
      </w:r>
    </w:p>
    <w:p w14:paraId="70872136" w14:textId="77777777" w:rsidR="003A3864" w:rsidRPr="00E859ED" w:rsidRDefault="003A3864" w:rsidP="003A3864">
      <w:pPr>
        <w:numPr>
          <w:ilvl w:val="0"/>
          <w:numId w:val="5"/>
        </w:numPr>
        <w:spacing w:after="200"/>
        <w:rPr>
          <w:sz w:val="22"/>
          <w:szCs w:val="18"/>
        </w:rPr>
      </w:pPr>
      <w:r w:rsidRPr="00E859ED">
        <w:rPr>
          <w:sz w:val="22"/>
          <w:szCs w:val="18"/>
        </w:rPr>
        <w:t>Being an integral member of the organisation’s Clinical Governance and Patient Safety teams and structures</w:t>
      </w:r>
    </w:p>
    <w:p w14:paraId="0B121ABE" w14:textId="77777777" w:rsidR="00104C02" w:rsidRDefault="003A3864" w:rsidP="00104C02">
      <w:pPr>
        <w:numPr>
          <w:ilvl w:val="0"/>
          <w:numId w:val="5"/>
        </w:numPr>
        <w:spacing w:before="200" w:after="200"/>
        <w:rPr>
          <w:sz w:val="22"/>
          <w:szCs w:val="18"/>
        </w:rPr>
      </w:pPr>
      <w:r w:rsidRPr="00E859ED">
        <w:rPr>
          <w:sz w:val="22"/>
          <w:szCs w:val="18"/>
        </w:rPr>
        <w:t xml:space="preserve">Producing an Annual Report on the state of HCAI in the organisation for </w:t>
      </w:r>
      <w:r w:rsidR="00104C02" w:rsidRPr="00E859ED">
        <w:rPr>
          <w:sz w:val="22"/>
          <w:szCs w:val="18"/>
        </w:rPr>
        <w:t>which he or she is responsible and release it publicly</w:t>
      </w:r>
    </w:p>
    <w:p w14:paraId="5098A3E5" w14:textId="77777777" w:rsidR="00104C02" w:rsidRDefault="00104C02" w:rsidP="00104C02">
      <w:pPr>
        <w:rPr>
          <w:sz w:val="22"/>
          <w:szCs w:val="18"/>
        </w:rPr>
      </w:pPr>
    </w:p>
    <w:p w14:paraId="0AD45CDD" w14:textId="77777777" w:rsidR="003A3864" w:rsidRDefault="003261AF" w:rsidP="003A3864">
      <w:pPr>
        <w:pStyle w:val="Heading2"/>
        <w:spacing w:before="240"/>
        <w:rPr>
          <w:rFonts w:ascii="Arial" w:hAnsi="Arial" w:cs="Arial"/>
          <w:sz w:val="24"/>
          <w:szCs w:val="24"/>
          <w:u w:val="none"/>
        </w:rPr>
      </w:pPr>
      <w:bookmarkStart w:id="4" w:name="_Toc64283139"/>
      <w:r>
        <w:rPr>
          <w:rFonts w:ascii="Arial" w:hAnsi="Arial" w:cs="Arial"/>
          <w:sz w:val="24"/>
          <w:szCs w:val="24"/>
          <w:u w:val="none"/>
        </w:rPr>
        <w:t>4</w:t>
      </w:r>
      <w:r w:rsidR="003A3864" w:rsidRPr="00E43F01">
        <w:rPr>
          <w:rFonts w:ascii="Arial" w:hAnsi="Arial" w:cs="Arial"/>
          <w:sz w:val="24"/>
          <w:szCs w:val="24"/>
          <w:u w:val="none"/>
        </w:rPr>
        <w:t>.</w:t>
      </w:r>
      <w:r w:rsidR="00136404">
        <w:rPr>
          <w:rFonts w:ascii="Arial" w:hAnsi="Arial" w:cs="Arial"/>
          <w:sz w:val="24"/>
          <w:szCs w:val="24"/>
          <w:u w:val="none"/>
        </w:rPr>
        <w:t>3</w:t>
      </w:r>
      <w:r w:rsidR="003A3864" w:rsidRPr="00E43F01">
        <w:rPr>
          <w:rFonts w:ascii="Arial" w:hAnsi="Arial" w:cs="Arial"/>
          <w:sz w:val="24"/>
          <w:szCs w:val="24"/>
          <w:u w:val="none"/>
        </w:rPr>
        <w:tab/>
        <w:t>Director of Estates &amp; Facilities</w:t>
      </w:r>
      <w:bookmarkEnd w:id="4"/>
    </w:p>
    <w:p w14:paraId="0FFB4781" w14:textId="77777777" w:rsidR="009F5168" w:rsidRPr="00644F22" w:rsidRDefault="009F5168" w:rsidP="00522685"/>
    <w:p w14:paraId="35F2E2B3" w14:textId="77777777" w:rsidR="003A3864" w:rsidRPr="00E859ED" w:rsidRDefault="003A3864" w:rsidP="003A3864">
      <w:pPr>
        <w:rPr>
          <w:sz w:val="22"/>
          <w:szCs w:val="18"/>
        </w:rPr>
      </w:pPr>
      <w:r w:rsidRPr="00E859ED">
        <w:rPr>
          <w:sz w:val="22"/>
          <w:szCs w:val="18"/>
        </w:rPr>
        <w:t>Responsible for ensuring that health service best practice guidance relating to cleaning, capital planning (including new build and refurbishment), isolation provision, laundry and disposal of waste is implemented within the organisation.  The Director of Estates and Facilities will:</w:t>
      </w:r>
    </w:p>
    <w:p w14:paraId="41EFC7C4" w14:textId="77777777" w:rsidR="009F5168" w:rsidRPr="00E859ED" w:rsidRDefault="009F5168" w:rsidP="003A3864">
      <w:pPr>
        <w:rPr>
          <w:sz w:val="22"/>
          <w:szCs w:val="18"/>
        </w:rPr>
      </w:pPr>
    </w:p>
    <w:p w14:paraId="26CF82C5" w14:textId="77777777" w:rsidR="003A3864" w:rsidRPr="00E859ED" w:rsidRDefault="003A3864" w:rsidP="003A3864">
      <w:pPr>
        <w:numPr>
          <w:ilvl w:val="0"/>
          <w:numId w:val="13"/>
        </w:numPr>
        <w:spacing w:after="200"/>
        <w:rPr>
          <w:sz w:val="22"/>
          <w:szCs w:val="18"/>
        </w:rPr>
      </w:pPr>
      <w:r w:rsidRPr="00E859ED">
        <w:rPr>
          <w:sz w:val="22"/>
          <w:szCs w:val="18"/>
        </w:rPr>
        <w:t>Work in collaboration with the Infection Prevention and Control Team and clinical teams to deliver effective infection prevention and control</w:t>
      </w:r>
    </w:p>
    <w:p w14:paraId="01D88DDF" w14:textId="77777777" w:rsidR="003A3864" w:rsidRPr="00E859ED" w:rsidRDefault="003A3864" w:rsidP="003A3864">
      <w:pPr>
        <w:numPr>
          <w:ilvl w:val="0"/>
          <w:numId w:val="13"/>
        </w:numPr>
        <w:spacing w:after="200"/>
        <w:rPr>
          <w:sz w:val="22"/>
          <w:szCs w:val="18"/>
        </w:rPr>
      </w:pPr>
      <w:r w:rsidRPr="00E859ED">
        <w:rPr>
          <w:sz w:val="22"/>
          <w:szCs w:val="18"/>
        </w:rPr>
        <w:t>Ensure that cleaning standards are monitored and reported at ward, CSU and corporate levels with responsibilities for actions identified</w:t>
      </w:r>
    </w:p>
    <w:p w14:paraId="6BC7505E" w14:textId="77777777" w:rsidR="003A3864" w:rsidRPr="00E859ED" w:rsidRDefault="003A3864" w:rsidP="003A3864">
      <w:pPr>
        <w:numPr>
          <w:ilvl w:val="0"/>
          <w:numId w:val="13"/>
        </w:numPr>
        <w:spacing w:after="200"/>
        <w:rPr>
          <w:sz w:val="22"/>
          <w:szCs w:val="18"/>
        </w:rPr>
      </w:pPr>
      <w:r w:rsidRPr="00E859ED">
        <w:rPr>
          <w:sz w:val="22"/>
          <w:szCs w:val="18"/>
        </w:rPr>
        <w:t>Ensure that service contracts are monitored for compliance</w:t>
      </w:r>
      <w:r w:rsidR="00D433D2">
        <w:rPr>
          <w:sz w:val="22"/>
          <w:szCs w:val="18"/>
        </w:rPr>
        <w:t>, but also risk assessed for patient safety requirements and provided</w:t>
      </w:r>
      <w:r w:rsidRPr="00E859ED">
        <w:rPr>
          <w:sz w:val="22"/>
          <w:szCs w:val="18"/>
        </w:rPr>
        <w:t xml:space="preserve"> to agreed quality standards and reported at Infection Prevention and Control and Performance Groups</w:t>
      </w:r>
    </w:p>
    <w:p w14:paraId="5863145E" w14:textId="77777777" w:rsidR="003A3864" w:rsidRPr="00E859ED" w:rsidRDefault="003A3864" w:rsidP="003A3864">
      <w:pPr>
        <w:numPr>
          <w:ilvl w:val="0"/>
          <w:numId w:val="13"/>
        </w:numPr>
        <w:spacing w:after="200"/>
        <w:rPr>
          <w:sz w:val="22"/>
          <w:szCs w:val="18"/>
        </w:rPr>
      </w:pPr>
      <w:r w:rsidRPr="00E859ED">
        <w:rPr>
          <w:sz w:val="22"/>
          <w:szCs w:val="18"/>
        </w:rPr>
        <w:t>Ensure that staff receive appropriate induction and ongoing training relevant to their area of work</w:t>
      </w:r>
      <w:r w:rsidR="00D433D2">
        <w:rPr>
          <w:sz w:val="22"/>
          <w:szCs w:val="18"/>
        </w:rPr>
        <w:t>, with a focus on competence as well as compliance</w:t>
      </w:r>
    </w:p>
    <w:p w14:paraId="6C115268" w14:textId="77777777" w:rsidR="003A3864" w:rsidRPr="00E859ED" w:rsidRDefault="003A3864" w:rsidP="003A3864">
      <w:pPr>
        <w:numPr>
          <w:ilvl w:val="0"/>
          <w:numId w:val="13"/>
        </w:numPr>
        <w:spacing w:after="200"/>
        <w:rPr>
          <w:sz w:val="22"/>
          <w:szCs w:val="18"/>
        </w:rPr>
      </w:pPr>
      <w:r w:rsidRPr="00E859ED">
        <w:rPr>
          <w:sz w:val="22"/>
          <w:szCs w:val="18"/>
        </w:rPr>
        <w:t>Ensure that the planned preventative maintenance program is monitored through performance framework and risks identified and reported though the Governance Committee</w:t>
      </w:r>
    </w:p>
    <w:p w14:paraId="6F934E13" w14:textId="77777777" w:rsidR="003A3864" w:rsidRPr="00E859ED" w:rsidRDefault="003A3864" w:rsidP="003A3864">
      <w:pPr>
        <w:numPr>
          <w:ilvl w:val="0"/>
          <w:numId w:val="13"/>
        </w:numPr>
        <w:spacing w:after="200"/>
        <w:rPr>
          <w:sz w:val="22"/>
          <w:szCs w:val="18"/>
        </w:rPr>
      </w:pPr>
      <w:r w:rsidRPr="00E859ED">
        <w:rPr>
          <w:sz w:val="22"/>
          <w:szCs w:val="18"/>
        </w:rPr>
        <w:t xml:space="preserve">Ensure that compliance with the duties of the Health and Social Care Act (Hygiene Code) is reported through the Infection Prevention and Control Committee </w:t>
      </w:r>
    </w:p>
    <w:p w14:paraId="01271722" w14:textId="77777777" w:rsidR="003A3864" w:rsidRPr="00E859ED" w:rsidRDefault="003A3864" w:rsidP="003A3864">
      <w:pPr>
        <w:numPr>
          <w:ilvl w:val="0"/>
          <w:numId w:val="13"/>
        </w:numPr>
        <w:spacing w:after="200"/>
        <w:rPr>
          <w:sz w:val="22"/>
          <w:szCs w:val="18"/>
        </w:rPr>
      </w:pPr>
      <w:r w:rsidRPr="00E859ED">
        <w:rPr>
          <w:sz w:val="22"/>
          <w:szCs w:val="18"/>
        </w:rPr>
        <w:t>Ensuring health service guidance relating to decontamination is implemented within the organisation</w:t>
      </w:r>
    </w:p>
    <w:p w14:paraId="53AF19F0" w14:textId="77777777" w:rsidR="003A3864" w:rsidRDefault="003A3864" w:rsidP="003A3864">
      <w:pPr>
        <w:numPr>
          <w:ilvl w:val="0"/>
          <w:numId w:val="13"/>
        </w:numPr>
        <w:spacing w:after="200"/>
        <w:rPr>
          <w:sz w:val="22"/>
          <w:szCs w:val="18"/>
        </w:rPr>
      </w:pPr>
      <w:r w:rsidRPr="00E859ED">
        <w:rPr>
          <w:sz w:val="22"/>
          <w:szCs w:val="18"/>
        </w:rPr>
        <w:t>Take the lead for the HCAI agenda amongst the General Management Team</w:t>
      </w:r>
    </w:p>
    <w:p w14:paraId="7F82FAEE" w14:textId="77777777" w:rsidR="00136404" w:rsidRDefault="00F3217E" w:rsidP="003A3864">
      <w:pPr>
        <w:numPr>
          <w:ilvl w:val="0"/>
          <w:numId w:val="13"/>
        </w:numPr>
        <w:spacing w:after="200"/>
        <w:rPr>
          <w:sz w:val="22"/>
          <w:szCs w:val="18"/>
        </w:rPr>
      </w:pPr>
      <w:r>
        <w:rPr>
          <w:sz w:val="22"/>
          <w:szCs w:val="18"/>
        </w:rPr>
        <w:lastRenderedPageBreak/>
        <w:t xml:space="preserve">Ensure Health service guidance relating to IPC in the built environment is implemented at LTHT </w:t>
      </w:r>
    </w:p>
    <w:p w14:paraId="5EE17398" w14:textId="77777777" w:rsidR="00136404" w:rsidRDefault="00136404" w:rsidP="00136404">
      <w:pPr>
        <w:spacing w:after="200"/>
        <w:rPr>
          <w:sz w:val="22"/>
          <w:szCs w:val="18"/>
        </w:rPr>
      </w:pPr>
    </w:p>
    <w:p w14:paraId="0A1C873B" w14:textId="77777777" w:rsidR="00136404" w:rsidRPr="00967C82" w:rsidRDefault="00136404" w:rsidP="00136404">
      <w:pPr>
        <w:rPr>
          <w:b/>
          <w:bCs/>
          <w:sz w:val="22"/>
          <w:szCs w:val="18"/>
        </w:rPr>
      </w:pPr>
      <w:r w:rsidRPr="00967C82">
        <w:rPr>
          <w:b/>
          <w:sz w:val="22"/>
          <w:szCs w:val="18"/>
        </w:rPr>
        <w:t>4.</w:t>
      </w:r>
      <w:r>
        <w:rPr>
          <w:b/>
          <w:bCs/>
          <w:sz w:val="22"/>
          <w:szCs w:val="18"/>
        </w:rPr>
        <w:t xml:space="preserve">4 </w:t>
      </w:r>
      <w:r w:rsidRPr="00967C82">
        <w:rPr>
          <w:b/>
          <w:sz w:val="22"/>
          <w:szCs w:val="18"/>
        </w:rPr>
        <w:t xml:space="preserve">Chief </w:t>
      </w:r>
      <w:r w:rsidRPr="00CA64A5">
        <w:rPr>
          <w:b/>
          <w:sz w:val="22"/>
          <w:szCs w:val="18"/>
        </w:rPr>
        <w:t xml:space="preserve">Nurse </w:t>
      </w:r>
      <w:r>
        <w:rPr>
          <w:b/>
          <w:sz w:val="22"/>
          <w:szCs w:val="18"/>
        </w:rPr>
        <w:t xml:space="preserve">(CN) </w:t>
      </w:r>
      <w:r w:rsidRPr="00CA64A5">
        <w:rPr>
          <w:b/>
          <w:sz w:val="22"/>
          <w:szCs w:val="18"/>
        </w:rPr>
        <w:t>and</w:t>
      </w:r>
      <w:r w:rsidRPr="00967C82">
        <w:rPr>
          <w:b/>
          <w:sz w:val="22"/>
          <w:szCs w:val="18"/>
        </w:rPr>
        <w:t xml:space="preserve"> Deputy Chief Nurses</w:t>
      </w:r>
      <w:r>
        <w:rPr>
          <w:b/>
          <w:bCs/>
          <w:sz w:val="22"/>
          <w:szCs w:val="18"/>
        </w:rPr>
        <w:t xml:space="preserve"> </w:t>
      </w:r>
      <w:r>
        <w:rPr>
          <w:b/>
          <w:sz w:val="22"/>
          <w:szCs w:val="18"/>
        </w:rPr>
        <w:t>(DCN)</w:t>
      </w:r>
      <w:r w:rsidRPr="00967C82">
        <w:rPr>
          <w:b/>
          <w:sz w:val="22"/>
          <w:szCs w:val="18"/>
        </w:rPr>
        <w:t xml:space="preserve">  </w:t>
      </w:r>
    </w:p>
    <w:p w14:paraId="037CA353" w14:textId="77777777" w:rsidR="00136404" w:rsidRDefault="00136404" w:rsidP="00136404">
      <w:pPr>
        <w:rPr>
          <w:sz w:val="22"/>
          <w:szCs w:val="18"/>
        </w:rPr>
      </w:pPr>
    </w:p>
    <w:p w14:paraId="5F92662A" w14:textId="77777777" w:rsidR="00136404" w:rsidRDefault="00136404" w:rsidP="00136404">
      <w:pPr>
        <w:pStyle w:val="BodyTextIndent"/>
        <w:ind w:left="0"/>
        <w:rPr>
          <w:sz w:val="22"/>
          <w:szCs w:val="18"/>
        </w:rPr>
      </w:pPr>
      <w:r>
        <w:rPr>
          <w:sz w:val="22"/>
          <w:szCs w:val="18"/>
        </w:rPr>
        <w:t xml:space="preserve">Responsible for ensuring </w:t>
      </w:r>
      <w:r w:rsidRPr="00104C02">
        <w:rPr>
          <w:sz w:val="22"/>
          <w:szCs w:val="18"/>
        </w:rPr>
        <w:t>N</w:t>
      </w:r>
      <w:r>
        <w:rPr>
          <w:sz w:val="22"/>
          <w:szCs w:val="18"/>
        </w:rPr>
        <w:t xml:space="preserve">ursing </w:t>
      </w:r>
      <w:r w:rsidRPr="00104C02">
        <w:rPr>
          <w:sz w:val="22"/>
          <w:szCs w:val="18"/>
        </w:rPr>
        <w:t>M</w:t>
      </w:r>
      <w:r>
        <w:rPr>
          <w:sz w:val="22"/>
          <w:szCs w:val="18"/>
        </w:rPr>
        <w:t xml:space="preserve">idwifery and </w:t>
      </w:r>
      <w:r w:rsidRPr="00104C02">
        <w:rPr>
          <w:sz w:val="22"/>
          <w:szCs w:val="18"/>
        </w:rPr>
        <w:t>A</w:t>
      </w:r>
      <w:r>
        <w:rPr>
          <w:sz w:val="22"/>
          <w:szCs w:val="18"/>
        </w:rPr>
        <w:t xml:space="preserve">llied </w:t>
      </w:r>
      <w:r w:rsidRPr="00104C02">
        <w:rPr>
          <w:sz w:val="22"/>
          <w:szCs w:val="18"/>
        </w:rPr>
        <w:t>H</w:t>
      </w:r>
      <w:r>
        <w:rPr>
          <w:sz w:val="22"/>
          <w:szCs w:val="18"/>
        </w:rPr>
        <w:t xml:space="preserve">ealth </w:t>
      </w:r>
      <w:r w:rsidRPr="00104C02">
        <w:rPr>
          <w:sz w:val="22"/>
          <w:szCs w:val="18"/>
        </w:rPr>
        <w:t>P</w:t>
      </w:r>
      <w:r>
        <w:rPr>
          <w:sz w:val="22"/>
          <w:szCs w:val="18"/>
        </w:rPr>
        <w:t xml:space="preserve">rofessionals (NMAHP) uphold the principles of the policy throughout the organisation. </w:t>
      </w:r>
    </w:p>
    <w:p w14:paraId="0E66503F" w14:textId="77777777" w:rsidR="00136404" w:rsidRDefault="00136404" w:rsidP="00136404">
      <w:pPr>
        <w:pStyle w:val="BodyTextIndent"/>
        <w:numPr>
          <w:ilvl w:val="0"/>
          <w:numId w:val="21"/>
        </w:numPr>
        <w:rPr>
          <w:sz w:val="22"/>
          <w:szCs w:val="18"/>
        </w:rPr>
      </w:pPr>
      <w:r>
        <w:rPr>
          <w:sz w:val="22"/>
          <w:szCs w:val="18"/>
        </w:rPr>
        <w:t xml:space="preserve">Oversee NMAHP quality assurance systems to provide IPC strategic overview of ward care – e.g. Perfect ward dashboard, Ward Metrics. </w:t>
      </w:r>
    </w:p>
    <w:p w14:paraId="06214573" w14:textId="77777777" w:rsidR="00136404" w:rsidRDefault="00136404" w:rsidP="00136404">
      <w:pPr>
        <w:pStyle w:val="BodyTextIndent"/>
        <w:numPr>
          <w:ilvl w:val="0"/>
          <w:numId w:val="21"/>
        </w:numPr>
        <w:rPr>
          <w:sz w:val="22"/>
          <w:szCs w:val="18"/>
        </w:rPr>
      </w:pPr>
      <w:r>
        <w:rPr>
          <w:sz w:val="22"/>
          <w:szCs w:val="18"/>
        </w:rPr>
        <w:t xml:space="preserve">Provide senior review of IPC as part of quality leadership visits to clinical areas. </w:t>
      </w:r>
    </w:p>
    <w:p w14:paraId="457207F8" w14:textId="77777777" w:rsidR="00136404" w:rsidRDefault="00136404" w:rsidP="00136404">
      <w:pPr>
        <w:pStyle w:val="BodyTextIndent"/>
        <w:numPr>
          <w:ilvl w:val="0"/>
          <w:numId w:val="21"/>
        </w:numPr>
        <w:rPr>
          <w:sz w:val="22"/>
          <w:szCs w:val="18"/>
        </w:rPr>
      </w:pPr>
      <w:r>
        <w:rPr>
          <w:sz w:val="22"/>
          <w:szCs w:val="18"/>
        </w:rPr>
        <w:t>Be an integral member of the IPC governance meeting structure.</w:t>
      </w:r>
    </w:p>
    <w:p w14:paraId="42A8A1F7" w14:textId="77777777" w:rsidR="00136404" w:rsidRPr="00507AB8" w:rsidRDefault="00136404" w:rsidP="00136404">
      <w:pPr>
        <w:pStyle w:val="BodyTextIndent"/>
        <w:numPr>
          <w:ilvl w:val="0"/>
          <w:numId w:val="21"/>
        </w:numPr>
        <w:rPr>
          <w:sz w:val="22"/>
          <w:szCs w:val="18"/>
        </w:rPr>
      </w:pPr>
      <w:r>
        <w:rPr>
          <w:sz w:val="22"/>
          <w:szCs w:val="18"/>
        </w:rPr>
        <w:t>Provide senior nurse operational guidance for all existing and new IPC policies and guidelines.</w:t>
      </w:r>
      <w:r w:rsidRPr="00507AB8">
        <w:rPr>
          <w:sz w:val="22"/>
          <w:szCs w:val="18"/>
        </w:rPr>
        <w:t xml:space="preserve">   </w:t>
      </w:r>
    </w:p>
    <w:p w14:paraId="5A5A57A5" w14:textId="77777777" w:rsidR="00136404" w:rsidRDefault="00136404" w:rsidP="00136404">
      <w:pPr>
        <w:spacing w:after="200"/>
        <w:rPr>
          <w:sz w:val="22"/>
          <w:szCs w:val="18"/>
        </w:rPr>
      </w:pPr>
    </w:p>
    <w:p w14:paraId="56E149C1" w14:textId="77777777" w:rsidR="003A3864" w:rsidRPr="00E43F01" w:rsidRDefault="003261AF" w:rsidP="003A3864">
      <w:pPr>
        <w:pStyle w:val="Heading2"/>
        <w:spacing w:before="240"/>
        <w:rPr>
          <w:rFonts w:ascii="Arial" w:hAnsi="Arial" w:cs="Arial"/>
          <w:sz w:val="24"/>
          <w:szCs w:val="24"/>
          <w:u w:val="none"/>
        </w:rPr>
      </w:pPr>
      <w:bookmarkStart w:id="5" w:name="_Toc64283140"/>
      <w:r>
        <w:rPr>
          <w:rFonts w:ascii="Arial" w:hAnsi="Arial" w:cs="Arial"/>
          <w:sz w:val="24"/>
          <w:szCs w:val="24"/>
          <w:u w:val="none"/>
        </w:rPr>
        <w:t>4</w:t>
      </w:r>
      <w:r w:rsidR="003A3864" w:rsidRPr="00E43F01">
        <w:rPr>
          <w:rFonts w:ascii="Arial" w:hAnsi="Arial" w:cs="Arial"/>
          <w:sz w:val="24"/>
          <w:szCs w:val="24"/>
          <w:u w:val="none"/>
        </w:rPr>
        <w:t>.</w:t>
      </w:r>
      <w:r w:rsidR="00C475AD">
        <w:rPr>
          <w:rFonts w:ascii="Arial" w:hAnsi="Arial" w:cs="Arial"/>
          <w:sz w:val="24"/>
          <w:szCs w:val="24"/>
          <w:u w:val="none"/>
        </w:rPr>
        <w:t>5</w:t>
      </w:r>
      <w:r w:rsidR="003A3864" w:rsidRPr="00E43F01">
        <w:rPr>
          <w:rFonts w:ascii="Arial" w:hAnsi="Arial" w:cs="Arial"/>
          <w:sz w:val="24"/>
          <w:szCs w:val="24"/>
          <w:u w:val="none"/>
        </w:rPr>
        <w:tab/>
      </w:r>
      <w:r w:rsidR="00A810FC">
        <w:rPr>
          <w:rFonts w:ascii="Arial" w:hAnsi="Arial" w:cs="Arial"/>
          <w:sz w:val="24"/>
          <w:szCs w:val="24"/>
          <w:u w:val="none"/>
        </w:rPr>
        <w:t>Medical Lead</w:t>
      </w:r>
      <w:r w:rsidR="008C44B1">
        <w:rPr>
          <w:rFonts w:ascii="Arial" w:hAnsi="Arial" w:cs="Arial"/>
          <w:sz w:val="24"/>
          <w:szCs w:val="24"/>
          <w:u w:val="none"/>
        </w:rPr>
        <w:t xml:space="preserve"> </w:t>
      </w:r>
      <w:r w:rsidR="003A3864" w:rsidRPr="00E43F01">
        <w:rPr>
          <w:rFonts w:ascii="Arial" w:hAnsi="Arial" w:cs="Arial"/>
          <w:sz w:val="24"/>
          <w:szCs w:val="24"/>
          <w:u w:val="none"/>
        </w:rPr>
        <w:t>Doctor for Infection prevention and Control</w:t>
      </w:r>
      <w:bookmarkEnd w:id="5"/>
      <w:r w:rsidR="00E9091B">
        <w:rPr>
          <w:rFonts w:ascii="Arial" w:hAnsi="Arial" w:cs="Arial"/>
          <w:sz w:val="24"/>
          <w:szCs w:val="24"/>
          <w:u w:val="none"/>
        </w:rPr>
        <w:t xml:space="preserve"> and AMR</w:t>
      </w:r>
    </w:p>
    <w:p w14:paraId="1BD751C6" w14:textId="77777777" w:rsidR="009F5168" w:rsidRDefault="009F5168" w:rsidP="003A3864"/>
    <w:p w14:paraId="2E68D88C" w14:textId="77777777" w:rsidR="003A3864" w:rsidRDefault="003A3864" w:rsidP="003A3864">
      <w:pPr>
        <w:rPr>
          <w:sz w:val="22"/>
          <w:szCs w:val="18"/>
        </w:rPr>
      </w:pPr>
      <w:r w:rsidRPr="00E859ED">
        <w:rPr>
          <w:sz w:val="22"/>
          <w:szCs w:val="18"/>
        </w:rPr>
        <w:t>Responsible for:</w:t>
      </w:r>
    </w:p>
    <w:p w14:paraId="07482E82" w14:textId="77777777" w:rsidR="00D433D2" w:rsidRPr="00E859ED" w:rsidRDefault="00D433D2" w:rsidP="003A3864">
      <w:pPr>
        <w:rPr>
          <w:sz w:val="22"/>
          <w:szCs w:val="18"/>
        </w:rPr>
      </w:pPr>
    </w:p>
    <w:p w14:paraId="772CD4D1" w14:textId="77777777" w:rsidR="003A3864" w:rsidRDefault="003A3864" w:rsidP="003A3864">
      <w:pPr>
        <w:numPr>
          <w:ilvl w:val="0"/>
          <w:numId w:val="12"/>
        </w:numPr>
        <w:spacing w:after="200"/>
        <w:rPr>
          <w:sz w:val="22"/>
          <w:szCs w:val="18"/>
        </w:rPr>
      </w:pPr>
      <w:r w:rsidRPr="00E859ED">
        <w:rPr>
          <w:sz w:val="22"/>
          <w:szCs w:val="18"/>
        </w:rPr>
        <w:t>Leading the professional/technical advice provision with respect to reducing infection risk</w:t>
      </w:r>
      <w:r w:rsidR="00522685" w:rsidRPr="00E859ED">
        <w:rPr>
          <w:sz w:val="22"/>
          <w:szCs w:val="18"/>
        </w:rPr>
        <w:t>.</w:t>
      </w:r>
    </w:p>
    <w:p w14:paraId="0DED3A7C" w14:textId="77777777" w:rsidR="008E35E6" w:rsidRPr="00E859ED" w:rsidRDefault="008E35E6" w:rsidP="003A3864">
      <w:pPr>
        <w:numPr>
          <w:ilvl w:val="0"/>
          <w:numId w:val="12"/>
        </w:numPr>
        <w:spacing w:after="200"/>
        <w:rPr>
          <w:sz w:val="22"/>
          <w:szCs w:val="18"/>
        </w:rPr>
      </w:pPr>
      <w:r>
        <w:rPr>
          <w:sz w:val="22"/>
          <w:szCs w:val="18"/>
        </w:rPr>
        <w:t>Providing director level subject matter expertise and Trust wide senior medical leadership.</w:t>
      </w:r>
    </w:p>
    <w:p w14:paraId="60E95188" w14:textId="77777777" w:rsidR="003A3864" w:rsidRPr="00E859ED" w:rsidRDefault="003A3864" w:rsidP="003A3864">
      <w:pPr>
        <w:numPr>
          <w:ilvl w:val="0"/>
          <w:numId w:val="12"/>
        </w:numPr>
        <w:spacing w:after="200"/>
        <w:rPr>
          <w:sz w:val="22"/>
          <w:szCs w:val="18"/>
        </w:rPr>
      </w:pPr>
      <w:r w:rsidRPr="00E859ED">
        <w:rPr>
          <w:sz w:val="22"/>
          <w:szCs w:val="18"/>
        </w:rPr>
        <w:t>Ensure that effective surveillance systems are in place with timely feedback to clinical services</w:t>
      </w:r>
      <w:r w:rsidR="000B1763" w:rsidRPr="00E859ED">
        <w:rPr>
          <w:sz w:val="22"/>
          <w:szCs w:val="18"/>
        </w:rPr>
        <w:t>, including for outbreak detection</w:t>
      </w:r>
      <w:r w:rsidR="00522685" w:rsidRPr="00E859ED">
        <w:rPr>
          <w:sz w:val="22"/>
          <w:szCs w:val="18"/>
        </w:rPr>
        <w:t>.</w:t>
      </w:r>
    </w:p>
    <w:p w14:paraId="71E9A7DE" w14:textId="77777777" w:rsidR="000B1763" w:rsidRPr="00E859ED" w:rsidRDefault="003A3864" w:rsidP="003A3864">
      <w:pPr>
        <w:numPr>
          <w:ilvl w:val="0"/>
          <w:numId w:val="12"/>
        </w:numPr>
        <w:spacing w:before="200" w:after="200"/>
        <w:rPr>
          <w:sz w:val="22"/>
          <w:szCs w:val="18"/>
        </w:rPr>
      </w:pPr>
      <w:r w:rsidRPr="00E859ED">
        <w:rPr>
          <w:sz w:val="22"/>
          <w:szCs w:val="18"/>
        </w:rPr>
        <w:t>Liaising with the clinical lead for microbiology</w:t>
      </w:r>
      <w:r w:rsidR="00D433D2">
        <w:rPr>
          <w:sz w:val="22"/>
          <w:szCs w:val="18"/>
        </w:rPr>
        <w:t>, and lead biomedical scientist for microbiology and virology,</w:t>
      </w:r>
      <w:r w:rsidRPr="00E859ED">
        <w:rPr>
          <w:sz w:val="22"/>
          <w:szCs w:val="18"/>
        </w:rPr>
        <w:t xml:space="preserve"> to ensure that appropriate </w:t>
      </w:r>
      <w:r w:rsidR="00D433D2">
        <w:rPr>
          <w:sz w:val="22"/>
          <w:szCs w:val="18"/>
        </w:rPr>
        <w:t xml:space="preserve">clinical and laboratory </w:t>
      </w:r>
      <w:r w:rsidRPr="00E859ED">
        <w:rPr>
          <w:sz w:val="22"/>
          <w:szCs w:val="18"/>
        </w:rPr>
        <w:t>resources are available for the diagnosis and prevention of HCAI in LTHT</w:t>
      </w:r>
      <w:r w:rsidR="00522685" w:rsidRPr="00E859ED">
        <w:rPr>
          <w:sz w:val="22"/>
          <w:szCs w:val="18"/>
        </w:rPr>
        <w:t>.</w:t>
      </w:r>
    </w:p>
    <w:p w14:paraId="2BD9EB35" w14:textId="77777777" w:rsidR="003A3864" w:rsidRPr="00E859ED" w:rsidRDefault="003A3864" w:rsidP="00522685">
      <w:pPr>
        <w:numPr>
          <w:ilvl w:val="0"/>
          <w:numId w:val="12"/>
        </w:numPr>
        <w:spacing w:before="200" w:after="200"/>
        <w:rPr>
          <w:sz w:val="22"/>
          <w:szCs w:val="18"/>
        </w:rPr>
      </w:pPr>
      <w:r w:rsidRPr="00E859ED">
        <w:rPr>
          <w:sz w:val="22"/>
          <w:szCs w:val="18"/>
        </w:rPr>
        <w:t>Providing support and expert advice to the Trust Water Safety Lead</w:t>
      </w:r>
      <w:r w:rsidR="008E35E6">
        <w:rPr>
          <w:sz w:val="22"/>
          <w:szCs w:val="18"/>
        </w:rPr>
        <w:t>, Trust Ventilation Lead</w:t>
      </w:r>
      <w:r w:rsidRPr="00E859ED">
        <w:rPr>
          <w:sz w:val="22"/>
          <w:szCs w:val="18"/>
        </w:rPr>
        <w:t xml:space="preserve"> and The Trust Decontamination Lead.</w:t>
      </w:r>
    </w:p>
    <w:p w14:paraId="622117F5" w14:textId="77777777" w:rsidR="003A3864" w:rsidRPr="00E859ED" w:rsidRDefault="003A3864" w:rsidP="003A3864">
      <w:pPr>
        <w:numPr>
          <w:ilvl w:val="0"/>
          <w:numId w:val="12"/>
        </w:numPr>
        <w:spacing w:after="200"/>
        <w:rPr>
          <w:sz w:val="22"/>
          <w:szCs w:val="18"/>
        </w:rPr>
      </w:pPr>
      <w:r w:rsidRPr="00E859ED">
        <w:rPr>
          <w:sz w:val="22"/>
          <w:szCs w:val="18"/>
        </w:rPr>
        <w:t>Influence the development and provision of education and training in relation to infection prevention and control</w:t>
      </w:r>
      <w:r w:rsidR="00522685" w:rsidRPr="00E859ED">
        <w:rPr>
          <w:sz w:val="22"/>
          <w:szCs w:val="18"/>
        </w:rPr>
        <w:t>.</w:t>
      </w:r>
    </w:p>
    <w:p w14:paraId="2AA10BB0" w14:textId="77777777" w:rsidR="00E9091B" w:rsidRPr="00E859ED" w:rsidRDefault="00E9091B" w:rsidP="003A3864">
      <w:pPr>
        <w:numPr>
          <w:ilvl w:val="0"/>
          <w:numId w:val="12"/>
        </w:numPr>
        <w:spacing w:after="200"/>
        <w:rPr>
          <w:sz w:val="22"/>
          <w:szCs w:val="18"/>
        </w:rPr>
      </w:pPr>
      <w:r w:rsidRPr="00E859ED">
        <w:rPr>
          <w:sz w:val="22"/>
          <w:szCs w:val="18"/>
        </w:rPr>
        <w:t>Developing and maintaining clinically meaningful data on antibiotic use and AMR for clinical teams in LTHT</w:t>
      </w:r>
      <w:r w:rsidR="00522685" w:rsidRPr="00E859ED">
        <w:rPr>
          <w:sz w:val="22"/>
          <w:szCs w:val="18"/>
        </w:rPr>
        <w:t>.</w:t>
      </w:r>
    </w:p>
    <w:p w14:paraId="7F4A382C" w14:textId="77777777" w:rsidR="00E9091B" w:rsidRDefault="00E9091B" w:rsidP="003A3864">
      <w:pPr>
        <w:numPr>
          <w:ilvl w:val="0"/>
          <w:numId w:val="12"/>
        </w:numPr>
        <w:spacing w:after="200"/>
        <w:rPr>
          <w:sz w:val="22"/>
          <w:szCs w:val="18"/>
        </w:rPr>
      </w:pPr>
      <w:r w:rsidRPr="00E859ED">
        <w:rPr>
          <w:sz w:val="22"/>
          <w:szCs w:val="18"/>
        </w:rPr>
        <w:t>Leading the professional/technical advice provision with respect to reducing the risk of AMR through both infection prevention and antimicrobial stewardship interventions</w:t>
      </w:r>
      <w:r w:rsidR="00522685" w:rsidRPr="00E859ED">
        <w:rPr>
          <w:sz w:val="22"/>
          <w:szCs w:val="18"/>
        </w:rPr>
        <w:t>.</w:t>
      </w:r>
    </w:p>
    <w:p w14:paraId="5D59FCFF" w14:textId="77777777" w:rsidR="00F3217E" w:rsidRDefault="00F3217E" w:rsidP="00F3217E">
      <w:pPr>
        <w:spacing w:after="200"/>
        <w:rPr>
          <w:sz w:val="22"/>
          <w:szCs w:val="18"/>
        </w:rPr>
      </w:pPr>
    </w:p>
    <w:p w14:paraId="604BBD25" w14:textId="77777777" w:rsidR="00F3217E" w:rsidRDefault="00F3217E" w:rsidP="00F3217E">
      <w:pPr>
        <w:spacing w:after="200"/>
        <w:rPr>
          <w:sz w:val="22"/>
          <w:szCs w:val="18"/>
        </w:rPr>
      </w:pPr>
    </w:p>
    <w:p w14:paraId="54A40D9B" w14:textId="77777777" w:rsidR="00F3217E" w:rsidRDefault="00F3217E" w:rsidP="00F3217E">
      <w:pPr>
        <w:spacing w:after="200"/>
        <w:rPr>
          <w:sz w:val="22"/>
          <w:szCs w:val="18"/>
        </w:rPr>
      </w:pPr>
    </w:p>
    <w:p w14:paraId="34AAD2FE" w14:textId="77777777" w:rsidR="00967C82" w:rsidRDefault="008F055E" w:rsidP="008F055E">
      <w:pPr>
        <w:spacing w:after="200"/>
        <w:rPr>
          <w:b/>
          <w:bCs/>
          <w:sz w:val="22"/>
          <w:szCs w:val="18"/>
        </w:rPr>
      </w:pPr>
      <w:r w:rsidRPr="00967C82">
        <w:rPr>
          <w:b/>
          <w:sz w:val="22"/>
          <w:szCs w:val="18"/>
        </w:rPr>
        <w:lastRenderedPageBreak/>
        <w:t>4.6 Deputy</w:t>
      </w:r>
      <w:r w:rsidR="00967C82">
        <w:rPr>
          <w:b/>
          <w:sz w:val="22"/>
          <w:szCs w:val="18"/>
        </w:rPr>
        <w:t xml:space="preserve"> </w:t>
      </w:r>
      <w:r w:rsidR="006233D7">
        <w:rPr>
          <w:b/>
          <w:sz w:val="22"/>
          <w:szCs w:val="18"/>
        </w:rPr>
        <w:t xml:space="preserve">Medical </w:t>
      </w:r>
      <w:r w:rsidR="00967C82">
        <w:rPr>
          <w:b/>
          <w:sz w:val="22"/>
          <w:szCs w:val="18"/>
        </w:rPr>
        <w:t xml:space="preserve">Infection Prevention and Control Leads – </w:t>
      </w:r>
    </w:p>
    <w:p w14:paraId="186D3264" w14:textId="77777777" w:rsidR="00F3217E" w:rsidRPr="00F3217E" w:rsidRDefault="00CA64A5" w:rsidP="00F3217E">
      <w:pPr>
        <w:spacing w:after="200"/>
        <w:ind w:left="360"/>
        <w:rPr>
          <w:iCs/>
          <w:sz w:val="22"/>
          <w:szCs w:val="22"/>
        </w:rPr>
      </w:pPr>
      <w:r w:rsidRPr="00F3217E">
        <w:rPr>
          <w:iCs/>
          <w:sz w:val="22"/>
          <w:szCs w:val="22"/>
        </w:rPr>
        <w:t xml:space="preserve">Responsible for </w:t>
      </w:r>
      <w:r w:rsidR="00F3217E" w:rsidRPr="00F3217E">
        <w:rPr>
          <w:iCs/>
          <w:sz w:val="22"/>
          <w:szCs w:val="22"/>
        </w:rPr>
        <w:t>-</w:t>
      </w:r>
    </w:p>
    <w:p w14:paraId="3032F12F" w14:textId="77777777" w:rsidR="00CA64A5" w:rsidRPr="00F3217E" w:rsidRDefault="0048480E" w:rsidP="00F3217E">
      <w:pPr>
        <w:pStyle w:val="ListParagraph"/>
        <w:numPr>
          <w:ilvl w:val="0"/>
          <w:numId w:val="22"/>
        </w:numPr>
        <w:spacing w:after="200"/>
        <w:rPr>
          <w:iCs/>
          <w:sz w:val="22"/>
          <w:szCs w:val="22"/>
        </w:rPr>
      </w:pPr>
      <w:r w:rsidRPr="00F3217E">
        <w:rPr>
          <w:sz w:val="22"/>
          <w:szCs w:val="22"/>
        </w:rPr>
        <w:t>P</w:t>
      </w:r>
      <w:r w:rsidR="00967C82" w:rsidRPr="00F3217E">
        <w:rPr>
          <w:sz w:val="22"/>
          <w:szCs w:val="22"/>
        </w:rPr>
        <w:t>rovid</w:t>
      </w:r>
      <w:r w:rsidR="006233D7" w:rsidRPr="00F3217E">
        <w:rPr>
          <w:sz w:val="22"/>
          <w:szCs w:val="22"/>
        </w:rPr>
        <w:t>ing</w:t>
      </w:r>
      <w:r w:rsidR="00967C82" w:rsidRPr="00F3217E">
        <w:rPr>
          <w:sz w:val="22"/>
          <w:szCs w:val="22"/>
        </w:rPr>
        <w:t xml:space="preserve"> oversight and monitoring of surgical infection prevention</w:t>
      </w:r>
      <w:r w:rsidR="00F3217E" w:rsidRPr="00F3217E">
        <w:rPr>
          <w:sz w:val="22"/>
          <w:szCs w:val="22"/>
        </w:rPr>
        <w:t>,</w:t>
      </w:r>
      <w:r w:rsidR="00967C82" w:rsidRPr="00F3217E">
        <w:rPr>
          <w:sz w:val="22"/>
          <w:szCs w:val="22"/>
        </w:rPr>
        <w:t xml:space="preserve"> develop and implement a strategy for Gram</w:t>
      </w:r>
      <w:r w:rsidR="006233D7" w:rsidRPr="00F3217E">
        <w:rPr>
          <w:sz w:val="22"/>
          <w:szCs w:val="22"/>
        </w:rPr>
        <w:t xml:space="preserve"> </w:t>
      </w:r>
      <w:r w:rsidR="00967C82" w:rsidRPr="00F3217E">
        <w:rPr>
          <w:sz w:val="22"/>
          <w:szCs w:val="22"/>
        </w:rPr>
        <w:t xml:space="preserve">negative infection reduction in surgical patients and reduce device related Infection. </w:t>
      </w:r>
    </w:p>
    <w:p w14:paraId="2D5B5D29" w14:textId="77777777" w:rsidR="00967C82" w:rsidRPr="00F3217E" w:rsidRDefault="0048480E" w:rsidP="00967C82">
      <w:pPr>
        <w:pStyle w:val="ListParagraph"/>
        <w:numPr>
          <w:ilvl w:val="0"/>
          <w:numId w:val="19"/>
        </w:numPr>
        <w:spacing w:after="200"/>
        <w:rPr>
          <w:iCs/>
          <w:sz w:val="22"/>
          <w:szCs w:val="22"/>
        </w:rPr>
      </w:pPr>
      <w:r w:rsidRPr="00F3217E">
        <w:rPr>
          <w:sz w:val="22"/>
          <w:szCs w:val="22"/>
        </w:rPr>
        <w:t>P</w:t>
      </w:r>
      <w:r w:rsidR="00967C82" w:rsidRPr="00F3217E">
        <w:rPr>
          <w:sz w:val="22"/>
          <w:szCs w:val="22"/>
        </w:rPr>
        <w:t>rovid</w:t>
      </w:r>
      <w:r w:rsidR="006233D7" w:rsidRPr="00F3217E">
        <w:rPr>
          <w:sz w:val="22"/>
          <w:szCs w:val="22"/>
        </w:rPr>
        <w:t>ing</w:t>
      </w:r>
      <w:r w:rsidR="00967C82" w:rsidRPr="00F3217E">
        <w:rPr>
          <w:sz w:val="22"/>
          <w:szCs w:val="22"/>
        </w:rPr>
        <w:t xml:space="preserve"> expertise to ensure processes and procedures are in place at LTHT to identify patients displaying symptoms of, or at risk of, HCID and that staff are trained and ready to provide safe care until transfer to a designated unit.</w:t>
      </w:r>
    </w:p>
    <w:p w14:paraId="2511B381" w14:textId="77777777" w:rsidR="006233D7" w:rsidRPr="00F3217E" w:rsidRDefault="006233D7" w:rsidP="00483433">
      <w:pPr>
        <w:pStyle w:val="ListParagraph"/>
        <w:numPr>
          <w:ilvl w:val="0"/>
          <w:numId w:val="19"/>
        </w:numPr>
        <w:jc w:val="both"/>
        <w:rPr>
          <w:sz w:val="22"/>
          <w:szCs w:val="22"/>
        </w:rPr>
      </w:pPr>
      <w:r w:rsidRPr="00F3217E">
        <w:rPr>
          <w:sz w:val="22"/>
          <w:szCs w:val="22"/>
        </w:rPr>
        <w:t>provide oversight and monitoring of antimicrobial prescribing rates in LTHT and work with CSU leaders to develop quality measures for AMS aligned with the HCAI board assurance framework, Health and Social Care Act, Code of Practice for Infection Prevention and Control, and other relevant national guidance.</w:t>
      </w:r>
    </w:p>
    <w:p w14:paraId="33202BE3" w14:textId="77777777" w:rsidR="006233D7" w:rsidRPr="00F3217E" w:rsidRDefault="006233D7" w:rsidP="00483433">
      <w:pPr>
        <w:spacing w:after="200"/>
        <w:rPr>
          <w:iCs/>
          <w:sz w:val="22"/>
          <w:szCs w:val="22"/>
        </w:rPr>
      </w:pPr>
    </w:p>
    <w:p w14:paraId="74407D00" w14:textId="77777777" w:rsidR="00483433" w:rsidRDefault="00483433" w:rsidP="00483433">
      <w:pPr>
        <w:spacing w:after="200"/>
      </w:pPr>
      <w:r>
        <w:rPr>
          <w:b/>
        </w:rPr>
        <w:t>4</w:t>
      </w:r>
      <w:r w:rsidRPr="00522685">
        <w:rPr>
          <w:b/>
        </w:rPr>
        <w:t>.</w:t>
      </w:r>
      <w:r w:rsidR="00136404">
        <w:rPr>
          <w:b/>
          <w:bCs/>
        </w:rPr>
        <w:t>7</w:t>
      </w:r>
      <w:r w:rsidRPr="00522685">
        <w:rPr>
          <w:b/>
        </w:rPr>
        <w:t xml:space="preserve"> Infection Prevention and Control Business manager</w:t>
      </w:r>
    </w:p>
    <w:p w14:paraId="69086B86" w14:textId="77777777" w:rsidR="00483433" w:rsidRPr="00E859ED" w:rsidRDefault="00483433" w:rsidP="00483433">
      <w:pPr>
        <w:spacing w:after="200"/>
        <w:rPr>
          <w:sz w:val="22"/>
          <w:szCs w:val="18"/>
        </w:rPr>
      </w:pPr>
      <w:r w:rsidRPr="00E859ED">
        <w:rPr>
          <w:sz w:val="22"/>
          <w:szCs w:val="18"/>
        </w:rPr>
        <w:t>Has oversight of the reporting process of HCAI’s data both locally and nationally within LTHT. This will include the appropriate standard operational procedures for:</w:t>
      </w:r>
    </w:p>
    <w:p w14:paraId="0311DDB5" w14:textId="77777777" w:rsidR="00483433" w:rsidRPr="00E859ED" w:rsidRDefault="00483433" w:rsidP="00483433">
      <w:pPr>
        <w:pStyle w:val="ListParagraph"/>
        <w:numPr>
          <w:ilvl w:val="0"/>
          <w:numId w:val="15"/>
        </w:numPr>
        <w:spacing w:after="200" w:line="360" w:lineRule="auto"/>
        <w:ind w:left="777" w:hanging="357"/>
        <w:rPr>
          <w:sz w:val="22"/>
          <w:szCs w:val="18"/>
        </w:rPr>
      </w:pPr>
      <w:r w:rsidRPr="00E859ED">
        <w:rPr>
          <w:sz w:val="22"/>
          <w:szCs w:val="18"/>
        </w:rPr>
        <w:t>Capture of HCAI’s, with entry onto the national data capture system</w:t>
      </w:r>
    </w:p>
    <w:p w14:paraId="5F731D0D" w14:textId="77777777" w:rsidR="00483433" w:rsidRPr="00E859ED" w:rsidRDefault="00483433" w:rsidP="00483433">
      <w:pPr>
        <w:pStyle w:val="ListParagraph"/>
        <w:numPr>
          <w:ilvl w:val="0"/>
          <w:numId w:val="15"/>
        </w:numPr>
        <w:spacing w:after="200" w:line="360" w:lineRule="auto"/>
        <w:ind w:left="777" w:hanging="357"/>
        <w:rPr>
          <w:sz w:val="22"/>
          <w:szCs w:val="18"/>
        </w:rPr>
      </w:pPr>
      <w:r w:rsidRPr="00E859ED">
        <w:rPr>
          <w:sz w:val="22"/>
          <w:szCs w:val="18"/>
        </w:rPr>
        <w:t>Monitoring changes to national HCAI data capture and communication of new changes</w:t>
      </w:r>
    </w:p>
    <w:p w14:paraId="5E2E73AF" w14:textId="77777777" w:rsidR="00483433" w:rsidRPr="00E859ED" w:rsidRDefault="00483433" w:rsidP="00483433">
      <w:pPr>
        <w:pStyle w:val="ListParagraph"/>
        <w:numPr>
          <w:ilvl w:val="0"/>
          <w:numId w:val="15"/>
        </w:numPr>
        <w:spacing w:after="200" w:line="360" w:lineRule="auto"/>
        <w:ind w:left="777" w:hanging="357"/>
        <w:rPr>
          <w:sz w:val="22"/>
          <w:szCs w:val="18"/>
        </w:rPr>
      </w:pPr>
      <w:r w:rsidRPr="00E859ED">
        <w:rPr>
          <w:sz w:val="22"/>
          <w:szCs w:val="18"/>
        </w:rPr>
        <w:t>Validation of local data internally</w:t>
      </w:r>
    </w:p>
    <w:p w14:paraId="3718EA00" w14:textId="77777777" w:rsidR="00483433" w:rsidRPr="00E859ED" w:rsidRDefault="00483433" w:rsidP="00483433">
      <w:pPr>
        <w:pStyle w:val="ListParagraph"/>
        <w:numPr>
          <w:ilvl w:val="0"/>
          <w:numId w:val="15"/>
        </w:numPr>
        <w:spacing w:after="200" w:line="360" w:lineRule="auto"/>
        <w:ind w:left="777" w:hanging="357"/>
        <w:rPr>
          <w:sz w:val="22"/>
          <w:szCs w:val="18"/>
        </w:rPr>
      </w:pPr>
      <w:r w:rsidRPr="00E859ED">
        <w:rPr>
          <w:sz w:val="22"/>
          <w:szCs w:val="18"/>
        </w:rPr>
        <w:t>Validation of data on national level</w:t>
      </w:r>
    </w:p>
    <w:p w14:paraId="51D5CB47" w14:textId="77777777" w:rsidR="003A3864" w:rsidRDefault="003261AF" w:rsidP="003A3864">
      <w:pPr>
        <w:pStyle w:val="Heading2"/>
        <w:spacing w:before="240"/>
        <w:rPr>
          <w:rFonts w:ascii="Arial" w:hAnsi="Arial" w:cs="Arial"/>
          <w:sz w:val="24"/>
          <w:szCs w:val="24"/>
          <w:u w:val="none"/>
        </w:rPr>
      </w:pPr>
      <w:bookmarkStart w:id="6" w:name="_Toc64283141"/>
      <w:r>
        <w:rPr>
          <w:rFonts w:ascii="Arial" w:hAnsi="Arial" w:cs="Arial"/>
          <w:sz w:val="24"/>
          <w:szCs w:val="24"/>
          <w:u w:val="none"/>
        </w:rPr>
        <w:t>4</w:t>
      </w:r>
      <w:r w:rsidR="003A3864" w:rsidRPr="00DA4D83">
        <w:rPr>
          <w:rFonts w:ascii="Arial" w:hAnsi="Arial" w:cs="Arial"/>
          <w:sz w:val="24"/>
          <w:szCs w:val="24"/>
          <w:u w:val="none"/>
        </w:rPr>
        <w:t>.</w:t>
      </w:r>
      <w:r w:rsidR="00136404">
        <w:rPr>
          <w:rFonts w:ascii="Arial" w:hAnsi="Arial" w:cs="Arial"/>
          <w:sz w:val="24"/>
          <w:szCs w:val="24"/>
          <w:u w:val="none"/>
        </w:rPr>
        <w:t>8</w:t>
      </w:r>
      <w:r w:rsidR="003A3864" w:rsidRPr="00DA4D83">
        <w:rPr>
          <w:rFonts w:ascii="Arial" w:hAnsi="Arial" w:cs="Arial"/>
          <w:sz w:val="24"/>
          <w:szCs w:val="24"/>
          <w:u w:val="none"/>
        </w:rPr>
        <w:tab/>
        <w:t>Infection Prevention and Control</w:t>
      </w:r>
      <w:r w:rsidR="002E3370">
        <w:rPr>
          <w:rFonts w:ascii="Arial" w:hAnsi="Arial" w:cs="Arial"/>
          <w:sz w:val="24"/>
          <w:szCs w:val="24"/>
          <w:u w:val="none"/>
        </w:rPr>
        <w:t xml:space="preserve"> Sub-</w:t>
      </w:r>
      <w:r w:rsidR="003A3864" w:rsidRPr="00DA4D83">
        <w:rPr>
          <w:rFonts w:ascii="Arial" w:hAnsi="Arial" w:cs="Arial"/>
          <w:sz w:val="24"/>
          <w:szCs w:val="24"/>
          <w:u w:val="none"/>
        </w:rPr>
        <w:t xml:space="preserve"> Committee (IPC</w:t>
      </w:r>
      <w:r w:rsidR="002E3370">
        <w:rPr>
          <w:rFonts w:ascii="Arial" w:hAnsi="Arial" w:cs="Arial"/>
          <w:sz w:val="24"/>
          <w:szCs w:val="24"/>
          <w:u w:val="none"/>
        </w:rPr>
        <w:t>S</w:t>
      </w:r>
      <w:r w:rsidR="003A3864" w:rsidRPr="00DA4D83">
        <w:rPr>
          <w:rFonts w:ascii="Arial" w:hAnsi="Arial" w:cs="Arial"/>
          <w:sz w:val="24"/>
          <w:szCs w:val="24"/>
          <w:u w:val="none"/>
        </w:rPr>
        <w:t>C)</w:t>
      </w:r>
      <w:bookmarkEnd w:id="6"/>
    </w:p>
    <w:p w14:paraId="11E4555D" w14:textId="77777777" w:rsidR="009F5168" w:rsidRPr="00644F22" w:rsidRDefault="009F5168" w:rsidP="00522685"/>
    <w:p w14:paraId="7FAB79D8" w14:textId="77777777" w:rsidR="003A3864" w:rsidRPr="005F40AD" w:rsidRDefault="003A3864" w:rsidP="009F5168">
      <w:r w:rsidRPr="00E859ED">
        <w:rPr>
          <w:sz w:val="22"/>
          <w:szCs w:val="18"/>
        </w:rPr>
        <w:t>The IPC</w:t>
      </w:r>
      <w:r w:rsidR="002E3370" w:rsidRPr="00E859ED">
        <w:rPr>
          <w:sz w:val="22"/>
          <w:szCs w:val="18"/>
        </w:rPr>
        <w:t>S</w:t>
      </w:r>
      <w:r w:rsidRPr="00E859ED">
        <w:rPr>
          <w:sz w:val="22"/>
          <w:szCs w:val="18"/>
        </w:rPr>
        <w:t xml:space="preserve">C </w:t>
      </w:r>
      <w:r w:rsidR="008E35E6">
        <w:rPr>
          <w:sz w:val="22"/>
          <w:szCs w:val="18"/>
        </w:rPr>
        <w:t>is responsible for monitoring and oversight of Trust wide IPC s</w:t>
      </w:r>
      <w:r w:rsidRPr="00E859ED">
        <w:rPr>
          <w:sz w:val="22"/>
          <w:szCs w:val="18"/>
        </w:rPr>
        <w:t xml:space="preserve"> assurance from each CSU within the Trust.  All CSUs are responsible for </w:t>
      </w:r>
      <w:r w:rsidR="00522685" w:rsidRPr="00E859ED">
        <w:rPr>
          <w:sz w:val="22"/>
          <w:szCs w:val="18"/>
        </w:rPr>
        <w:t>managing their</w:t>
      </w:r>
      <w:r w:rsidRPr="00E859ED">
        <w:rPr>
          <w:sz w:val="22"/>
          <w:szCs w:val="18"/>
        </w:rPr>
        <w:t xml:space="preserve"> performance through their individual CSU clinical governance </w:t>
      </w:r>
      <w:r w:rsidR="00A810FC" w:rsidRPr="00E859ED">
        <w:rPr>
          <w:sz w:val="22"/>
          <w:szCs w:val="18"/>
        </w:rPr>
        <w:t>structure and</w:t>
      </w:r>
      <w:r w:rsidRPr="00E859ED">
        <w:rPr>
          <w:sz w:val="22"/>
          <w:szCs w:val="18"/>
        </w:rPr>
        <w:t xml:space="preserve"> are required to provide assurance to the IPC</w:t>
      </w:r>
      <w:r w:rsidR="002E3370" w:rsidRPr="00E859ED">
        <w:rPr>
          <w:sz w:val="22"/>
          <w:szCs w:val="18"/>
        </w:rPr>
        <w:t>S</w:t>
      </w:r>
      <w:r w:rsidRPr="00E859ED">
        <w:rPr>
          <w:sz w:val="22"/>
          <w:szCs w:val="18"/>
        </w:rPr>
        <w:t>C at least annually or by exception. The Terms of Reference and membership can be found in Appendix I.</w:t>
      </w:r>
    </w:p>
    <w:p w14:paraId="706E41FC" w14:textId="77777777" w:rsidR="003A3864" w:rsidRDefault="003261AF" w:rsidP="003A3864">
      <w:pPr>
        <w:pStyle w:val="Heading2"/>
        <w:spacing w:before="240"/>
        <w:rPr>
          <w:rFonts w:ascii="Arial" w:hAnsi="Arial" w:cs="Arial"/>
          <w:sz w:val="24"/>
          <w:szCs w:val="24"/>
          <w:u w:val="none"/>
        </w:rPr>
      </w:pPr>
      <w:bookmarkStart w:id="7" w:name="_Toc64283142"/>
      <w:r>
        <w:rPr>
          <w:rFonts w:ascii="Arial" w:hAnsi="Arial" w:cs="Arial"/>
          <w:sz w:val="24"/>
          <w:szCs w:val="24"/>
          <w:u w:val="none"/>
        </w:rPr>
        <w:t>4</w:t>
      </w:r>
      <w:r w:rsidR="00136404">
        <w:rPr>
          <w:rFonts w:ascii="Arial" w:hAnsi="Arial" w:cs="Arial"/>
          <w:sz w:val="24"/>
          <w:szCs w:val="24"/>
          <w:u w:val="none"/>
        </w:rPr>
        <w:t>.9</w:t>
      </w:r>
      <w:r w:rsidR="003A3864" w:rsidRPr="00E97939">
        <w:rPr>
          <w:rFonts w:ascii="Arial" w:hAnsi="Arial" w:cs="Arial"/>
          <w:sz w:val="24"/>
          <w:szCs w:val="24"/>
          <w:u w:val="none"/>
        </w:rPr>
        <w:tab/>
        <w:t xml:space="preserve">HCAI </w:t>
      </w:r>
      <w:bookmarkEnd w:id="7"/>
      <w:r w:rsidR="000624AA">
        <w:rPr>
          <w:rFonts w:ascii="Arial" w:hAnsi="Arial" w:cs="Arial"/>
          <w:sz w:val="24"/>
          <w:szCs w:val="24"/>
          <w:u w:val="none"/>
        </w:rPr>
        <w:t>Group</w:t>
      </w:r>
    </w:p>
    <w:p w14:paraId="50E65DC0" w14:textId="77777777" w:rsidR="009F5168" w:rsidRPr="00644F22" w:rsidRDefault="009F5168" w:rsidP="00522685"/>
    <w:p w14:paraId="30A77CAC" w14:textId="77777777" w:rsidR="000450F7" w:rsidRPr="000450F7" w:rsidRDefault="003A3864" w:rsidP="000450F7">
      <w:pPr>
        <w:rPr>
          <w:sz w:val="22"/>
          <w:szCs w:val="18"/>
        </w:rPr>
      </w:pPr>
      <w:r w:rsidRPr="00E859ED">
        <w:rPr>
          <w:sz w:val="22"/>
          <w:szCs w:val="18"/>
        </w:rPr>
        <w:t xml:space="preserve">The HCAI </w:t>
      </w:r>
      <w:r w:rsidR="00A810FC" w:rsidRPr="00E859ED">
        <w:rPr>
          <w:sz w:val="22"/>
          <w:szCs w:val="18"/>
        </w:rPr>
        <w:t>Group</w:t>
      </w:r>
      <w:r w:rsidRPr="00E859ED">
        <w:rPr>
          <w:sz w:val="22"/>
          <w:szCs w:val="18"/>
        </w:rPr>
        <w:t xml:space="preserve"> meets monthly </w:t>
      </w:r>
      <w:r w:rsidR="008F055E">
        <w:rPr>
          <w:sz w:val="22"/>
          <w:szCs w:val="18"/>
        </w:rPr>
        <w:t xml:space="preserve">to </w:t>
      </w:r>
      <w:r w:rsidR="000450F7">
        <w:rPr>
          <w:sz w:val="22"/>
          <w:szCs w:val="18"/>
        </w:rPr>
        <w:t xml:space="preserve">regularly </w:t>
      </w:r>
      <w:r w:rsidR="000450F7" w:rsidRPr="000450F7">
        <w:rPr>
          <w:sz w:val="22"/>
          <w:szCs w:val="18"/>
        </w:rPr>
        <w:t xml:space="preserve">monitor the Trust’s position for healthcare associated infections (HCAIs) and provide oversight and recommendations to prevent avoidable harms.  This </w:t>
      </w:r>
      <w:r w:rsidR="000450F7">
        <w:rPr>
          <w:sz w:val="22"/>
          <w:szCs w:val="18"/>
        </w:rPr>
        <w:t>is</w:t>
      </w:r>
      <w:r w:rsidR="000450F7" w:rsidRPr="000450F7">
        <w:rPr>
          <w:sz w:val="22"/>
          <w:szCs w:val="18"/>
        </w:rPr>
        <w:t xml:space="preserve"> achieved by re</w:t>
      </w:r>
      <w:r w:rsidR="000450F7">
        <w:rPr>
          <w:sz w:val="22"/>
          <w:szCs w:val="18"/>
        </w:rPr>
        <w:t>viewing</w:t>
      </w:r>
      <w:r w:rsidR="000450F7" w:rsidRPr="000450F7">
        <w:rPr>
          <w:sz w:val="22"/>
          <w:szCs w:val="18"/>
        </w:rPr>
        <w:t xml:space="preserve"> compliance against the Code of Practice on the prevention and control of infections</w:t>
      </w:r>
      <w:r w:rsidR="000450F7">
        <w:rPr>
          <w:sz w:val="22"/>
          <w:szCs w:val="18"/>
        </w:rPr>
        <w:t xml:space="preserve"> and</w:t>
      </w:r>
      <w:r w:rsidR="000450F7" w:rsidRPr="000450F7">
        <w:rPr>
          <w:sz w:val="22"/>
          <w:szCs w:val="18"/>
        </w:rPr>
        <w:t xml:space="preserve"> identifying action to meet compliance, directly from Clinical Service Units (CSUs) and </w:t>
      </w:r>
      <w:r w:rsidR="000450F7">
        <w:rPr>
          <w:sz w:val="22"/>
          <w:szCs w:val="18"/>
        </w:rPr>
        <w:t>clinical teams.</w:t>
      </w:r>
    </w:p>
    <w:p w14:paraId="246697DF" w14:textId="77777777" w:rsidR="0052299F" w:rsidRPr="00E859ED" w:rsidRDefault="003A3864" w:rsidP="000450F7">
      <w:pPr>
        <w:rPr>
          <w:sz w:val="22"/>
          <w:szCs w:val="18"/>
        </w:rPr>
      </w:pPr>
      <w:r w:rsidRPr="00E859ED">
        <w:rPr>
          <w:sz w:val="22"/>
          <w:szCs w:val="18"/>
        </w:rPr>
        <w:t xml:space="preserve">  The HCAI </w:t>
      </w:r>
      <w:r w:rsidR="0052299F" w:rsidRPr="00E859ED">
        <w:rPr>
          <w:sz w:val="22"/>
          <w:szCs w:val="18"/>
        </w:rPr>
        <w:t>Group</w:t>
      </w:r>
      <w:r w:rsidRPr="00E859ED">
        <w:rPr>
          <w:sz w:val="22"/>
          <w:szCs w:val="18"/>
        </w:rPr>
        <w:t xml:space="preserve"> is chaired by the DDIPC</w:t>
      </w:r>
      <w:r w:rsidR="0052299F" w:rsidRPr="00E859ED">
        <w:rPr>
          <w:sz w:val="22"/>
          <w:szCs w:val="18"/>
        </w:rPr>
        <w:t xml:space="preserve">, </w:t>
      </w:r>
      <w:r w:rsidR="000450F7">
        <w:rPr>
          <w:sz w:val="22"/>
          <w:szCs w:val="18"/>
        </w:rPr>
        <w:t>and</w:t>
      </w:r>
      <w:r w:rsidRPr="00E859ED">
        <w:rPr>
          <w:sz w:val="22"/>
          <w:szCs w:val="18"/>
        </w:rPr>
        <w:t xml:space="preserve"> review</w:t>
      </w:r>
      <w:r w:rsidR="000450F7">
        <w:rPr>
          <w:sz w:val="22"/>
          <w:szCs w:val="18"/>
        </w:rPr>
        <w:t>s</w:t>
      </w:r>
      <w:r w:rsidRPr="00E859ED">
        <w:rPr>
          <w:sz w:val="22"/>
          <w:szCs w:val="18"/>
        </w:rPr>
        <w:t xml:space="preserve"> Infection Prevention and Control </w:t>
      </w:r>
      <w:r w:rsidR="0052299F" w:rsidRPr="00E859ED">
        <w:rPr>
          <w:sz w:val="22"/>
          <w:szCs w:val="18"/>
        </w:rPr>
        <w:t>b</w:t>
      </w:r>
      <w:r w:rsidRPr="00E859ED">
        <w:rPr>
          <w:sz w:val="22"/>
          <w:szCs w:val="18"/>
        </w:rPr>
        <w:t xml:space="preserve">est </w:t>
      </w:r>
      <w:r w:rsidR="0052299F" w:rsidRPr="00E859ED">
        <w:rPr>
          <w:sz w:val="22"/>
          <w:szCs w:val="18"/>
        </w:rPr>
        <w:t>p</w:t>
      </w:r>
      <w:r w:rsidRPr="00E859ED">
        <w:rPr>
          <w:sz w:val="22"/>
          <w:szCs w:val="18"/>
        </w:rPr>
        <w:t xml:space="preserve">ractice and </w:t>
      </w:r>
      <w:r w:rsidR="008F055E" w:rsidRPr="00E859ED">
        <w:rPr>
          <w:sz w:val="22"/>
          <w:szCs w:val="18"/>
        </w:rPr>
        <w:t>identifi</w:t>
      </w:r>
      <w:r w:rsidR="008F055E">
        <w:rPr>
          <w:sz w:val="22"/>
          <w:szCs w:val="18"/>
        </w:rPr>
        <w:t>es</w:t>
      </w:r>
      <w:r w:rsidRPr="00E859ED">
        <w:rPr>
          <w:sz w:val="22"/>
          <w:szCs w:val="18"/>
        </w:rPr>
        <w:t xml:space="preserve"> the interventions that are required to minimise the risk of nosocomial transmission and prevent avoidable infections within LTHT.  </w:t>
      </w:r>
      <w:r w:rsidR="0052299F" w:rsidRPr="00E859ED">
        <w:rPr>
          <w:sz w:val="22"/>
          <w:szCs w:val="18"/>
        </w:rPr>
        <w:t>The Terms of Reference and membership can be found in Appendix I.</w:t>
      </w:r>
    </w:p>
    <w:p w14:paraId="0EDD0122" w14:textId="77777777" w:rsidR="003A3864" w:rsidRPr="00E859ED" w:rsidRDefault="003A3864" w:rsidP="009F5168">
      <w:pPr>
        <w:rPr>
          <w:b/>
          <w:sz w:val="22"/>
          <w:szCs w:val="18"/>
        </w:rPr>
      </w:pPr>
    </w:p>
    <w:p w14:paraId="4F8134E4" w14:textId="77777777" w:rsidR="00E859ED" w:rsidRDefault="00E859ED" w:rsidP="003A3864">
      <w:pPr>
        <w:pStyle w:val="Heading2"/>
        <w:rPr>
          <w:rFonts w:ascii="Arial" w:hAnsi="Arial" w:cs="Arial"/>
          <w:sz w:val="24"/>
          <w:szCs w:val="24"/>
          <w:u w:val="none"/>
        </w:rPr>
      </w:pPr>
    </w:p>
    <w:p w14:paraId="2AD6E9DE" w14:textId="77777777" w:rsidR="003A3864" w:rsidRDefault="00136404" w:rsidP="003A3864">
      <w:pPr>
        <w:pStyle w:val="Heading2"/>
        <w:rPr>
          <w:rFonts w:ascii="Arial" w:hAnsi="Arial" w:cs="Arial"/>
          <w:sz w:val="24"/>
          <w:szCs w:val="24"/>
          <w:u w:val="none"/>
        </w:rPr>
      </w:pPr>
      <w:r>
        <w:rPr>
          <w:rFonts w:ascii="Arial" w:hAnsi="Arial" w:cs="Arial"/>
          <w:sz w:val="24"/>
          <w:szCs w:val="24"/>
          <w:u w:val="none"/>
        </w:rPr>
        <w:t xml:space="preserve">4.10 </w:t>
      </w:r>
      <w:r>
        <w:rPr>
          <w:rFonts w:ascii="Arial" w:hAnsi="Arial" w:cs="Arial"/>
          <w:sz w:val="24"/>
          <w:szCs w:val="24"/>
          <w:u w:val="none"/>
        </w:rPr>
        <w:tab/>
      </w:r>
      <w:r w:rsidR="00BC61D9">
        <w:rPr>
          <w:rFonts w:ascii="Arial" w:hAnsi="Arial" w:cs="Arial"/>
          <w:sz w:val="24"/>
          <w:szCs w:val="24"/>
          <w:u w:val="none"/>
        </w:rPr>
        <w:t>Operational Infection Prevention and Control (OIPC)</w:t>
      </w:r>
      <w:r w:rsidR="00D433D2">
        <w:rPr>
          <w:rFonts w:ascii="Arial" w:hAnsi="Arial" w:cs="Arial"/>
          <w:sz w:val="24"/>
          <w:szCs w:val="24"/>
          <w:u w:val="none"/>
        </w:rPr>
        <w:t xml:space="preserve"> </w:t>
      </w:r>
      <w:r w:rsidR="00BC61D9">
        <w:rPr>
          <w:rFonts w:ascii="Arial" w:hAnsi="Arial" w:cs="Arial"/>
          <w:sz w:val="24"/>
          <w:szCs w:val="24"/>
          <w:u w:val="none"/>
        </w:rPr>
        <w:t xml:space="preserve">Group  </w:t>
      </w:r>
    </w:p>
    <w:p w14:paraId="11D6B7BA" w14:textId="77777777" w:rsidR="005A1E24" w:rsidRPr="008944C1" w:rsidRDefault="005A1E24" w:rsidP="00E859ED"/>
    <w:p w14:paraId="75531862" w14:textId="77777777" w:rsidR="00B77131" w:rsidRDefault="00D3687C" w:rsidP="00B77131">
      <w:pPr>
        <w:spacing w:line="276" w:lineRule="auto"/>
        <w:rPr>
          <w:rFonts w:eastAsiaTheme="minorHAnsi"/>
          <w:bCs/>
          <w:sz w:val="22"/>
          <w:szCs w:val="22"/>
        </w:rPr>
      </w:pPr>
      <w:r>
        <w:rPr>
          <w:rFonts w:eastAsiaTheme="minorHAnsi"/>
          <w:sz w:val="22"/>
          <w:szCs w:val="22"/>
        </w:rPr>
        <w:lastRenderedPageBreak/>
        <w:t>The OIPC meets fortnightly t</w:t>
      </w:r>
      <w:r w:rsidR="00B77131" w:rsidRPr="00B77131">
        <w:rPr>
          <w:rFonts w:eastAsiaTheme="minorHAnsi"/>
          <w:sz w:val="22"/>
          <w:szCs w:val="22"/>
        </w:rPr>
        <w:t>o provide oversight of the translation of the IPC board assurance framework and operational delivery, and evaluate the effectiveness of the IPC response</w:t>
      </w:r>
    </w:p>
    <w:p w14:paraId="0FDB6230" w14:textId="77777777" w:rsidR="00D3687C" w:rsidRDefault="00D3687C" w:rsidP="00B77131">
      <w:pPr>
        <w:spacing w:line="276" w:lineRule="auto"/>
        <w:rPr>
          <w:rFonts w:eastAsiaTheme="minorHAnsi"/>
          <w:bCs/>
          <w:sz w:val="22"/>
          <w:szCs w:val="22"/>
        </w:rPr>
      </w:pPr>
    </w:p>
    <w:p w14:paraId="6E528534" w14:textId="77777777" w:rsidR="003B741D" w:rsidRPr="00B77131" w:rsidRDefault="00D3687C" w:rsidP="00B77131">
      <w:pPr>
        <w:spacing w:line="276" w:lineRule="auto"/>
        <w:rPr>
          <w:rFonts w:eastAsiaTheme="minorHAnsi"/>
          <w:bCs/>
          <w:sz w:val="22"/>
          <w:szCs w:val="22"/>
        </w:rPr>
      </w:pPr>
      <w:r>
        <w:rPr>
          <w:rFonts w:eastAsiaTheme="minorHAnsi"/>
          <w:sz w:val="22"/>
          <w:szCs w:val="22"/>
        </w:rPr>
        <w:t xml:space="preserve">  The role of the OIPC includes :</w:t>
      </w:r>
    </w:p>
    <w:p w14:paraId="6ECD1DD0" w14:textId="77777777" w:rsidR="00B77131" w:rsidRPr="008A325C" w:rsidRDefault="00B77131" w:rsidP="00B77131">
      <w:pPr>
        <w:numPr>
          <w:ilvl w:val="0"/>
          <w:numId w:val="17"/>
        </w:numPr>
        <w:spacing w:after="200" w:line="276" w:lineRule="auto"/>
        <w:contextualSpacing/>
        <w:rPr>
          <w:rFonts w:eastAsiaTheme="minorHAnsi"/>
          <w:bCs/>
          <w:sz w:val="22"/>
          <w:szCs w:val="22"/>
        </w:rPr>
      </w:pPr>
      <w:r w:rsidRPr="008A325C">
        <w:rPr>
          <w:rFonts w:eastAsiaTheme="minorHAnsi"/>
          <w:sz w:val="22"/>
          <w:szCs w:val="22"/>
        </w:rPr>
        <w:t>Review operational impact and delivery on all IPC guidance to date and recommend any changes required.</w:t>
      </w:r>
    </w:p>
    <w:p w14:paraId="4DFDB391" w14:textId="77777777" w:rsidR="00B77131" w:rsidRPr="008A325C" w:rsidRDefault="00B77131" w:rsidP="00B77131">
      <w:pPr>
        <w:numPr>
          <w:ilvl w:val="0"/>
          <w:numId w:val="17"/>
        </w:numPr>
        <w:spacing w:after="200" w:line="276" w:lineRule="auto"/>
        <w:contextualSpacing/>
        <w:rPr>
          <w:rFonts w:eastAsiaTheme="minorHAnsi"/>
          <w:bCs/>
          <w:sz w:val="22"/>
          <w:szCs w:val="22"/>
        </w:rPr>
      </w:pPr>
      <w:r w:rsidRPr="008A325C">
        <w:rPr>
          <w:rFonts w:eastAsiaTheme="minorHAnsi"/>
          <w:sz w:val="22"/>
          <w:szCs w:val="22"/>
        </w:rPr>
        <w:t>Review operational impact and delivery on all new IPC guidance that the organisation receives and advise on any change in direction and/or the implementation of the new guidance.</w:t>
      </w:r>
    </w:p>
    <w:p w14:paraId="18DE9706" w14:textId="77777777" w:rsidR="00B77131" w:rsidRPr="008A325C" w:rsidRDefault="00B77131" w:rsidP="00B77131">
      <w:pPr>
        <w:numPr>
          <w:ilvl w:val="0"/>
          <w:numId w:val="17"/>
        </w:numPr>
        <w:spacing w:after="200" w:line="276" w:lineRule="auto"/>
        <w:contextualSpacing/>
        <w:rPr>
          <w:rFonts w:eastAsiaTheme="minorHAnsi"/>
          <w:bCs/>
          <w:sz w:val="22"/>
          <w:szCs w:val="22"/>
        </w:rPr>
      </w:pPr>
      <w:r w:rsidRPr="008A325C">
        <w:rPr>
          <w:sz w:val="22"/>
          <w:szCs w:val="22"/>
        </w:rPr>
        <w:t>Monitor progress against the National Standard Contract: Minimising</w:t>
      </w:r>
      <w:r w:rsidRPr="008A325C">
        <w:rPr>
          <w:spacing w:val="1"/>
          <w:sz w:val="22"/>
          <w:szCs w:val="22"/>
        </w:rPr>
        <w:t xml:space="preserve"> </w:t>
      </w:r>
      <w:r w:rsidRPr="008A325C">
        <w:rPr>
          <w:i/>
          <w:sz w:val="22"/>
          <w:szCs w:val="22"/>
        </w:rPr>
        <w:t xml:space="preserve">Clostridioides difficile </w:t>
      </w:r>
      <w:r w:rsidRPr="008A325C">
        <w:rPr>
          <w:sz w:val="22"/>
          <w:szCs w:val="22"/>
        </w:rPr>
        <w:t xml:space="preserve">(CDI), </w:t>
      </w:r>
      <w:r w:rsidRPr="008A325C">
        <w:rPr>
          <w:iCs/>
          <w:sz w:val="22"/>
          <w:szCs w:val="22"/>
        </w:rPr>
        <w:t>Methicillin</w:t>
      </w:r>
      <w:r w:rsidRPr="008A325C">
        <w:rPr>
          <w:i/>
          <w:sz w:val="22"/>
          <w:szCs w:val="22"/>
        </w:rPr>
        <w:t xml:space="preserve"> </w:t>
      </w:r>
      <w:r w:rsidRPr="008A325C">
        <w:rPr>
          <w:iCs/>
          <w:sz w:val="22"/>
          <w:szCs w:val="22"/>
        </w:rPr>
        <w:t>resistant</w:t>
      </w:r>
      <w:r w:rsidRPr="008A325C">
        <w:rPr>
          <w:i/>
          <w:spacing w:val="1"/>
          <w:sz w:val="22"/>
          <w:szCs w:val="22"/>
        </w:rPr>
        <w:t xml:space="preserve"> </w:t>
      </w:r>
      <w:r w:rsidRPr="008A325C">
        <w:rPr>
          <w:i/>
          <w:sz w:val="22"/>
          <w:szCs w:val="22"/>
        </w:rPr>
        <w:t xml:space="preserve">Staphylococcus aureus </w:t>
      </w:r>
      <w:r w:rsidRPr="008A325C">
        <w:rPr>
          <w:sz w:val="22"/>
          <w:szCs w:val="22"/>
        </w:rPr>
        <w:t>(MRSA) and Gram-negative bacillus bloodstream infection (GNBSI) incidence to meet HCAI thresholds</w:t>
      </w:r>
      <w:r w:rsidRPr="008A325C">
        <w:rPr>
          <w:spacing w:val="1"/>
          <w:sz w:val="22"/>
          <w:szCs w:val="22"/>
        </w:rPr>
        <w:t>.</w:t>
      </w:r>
    </w:p>
    <w:p w14:paraId="2E547063" w14:textId="77777777" w:rsidR="00D433D2" w:rsidRPr="003B741D" w:rsidRDefault="00B77131" w:rsidP="003B741D">
      <w:pPr>
        <w:numPr>
          <w:ilvl w:val="0"/>
          <w:numId w:val="17"/>
        </w:numPr>
        <w:spacing w:after="200" w:line="276" w:lineRule="auto"/>
        <w:contextualSpacing/>
        <w:rPr>
          <w:sz w:val="22"/>
          <w:szCs w:val="22"/>
          <w:lang w:val="en-US" w:eastAsia="en-GB"/>
        </w:rPr>
      </w:pPr>
      <w:r w:rsidRPr="008A325C">
        <w:rPr>
          <w:rFonts w:eastAsiaTheme="minorHAnsi"/>
          <w:sz w:val="22"/>
          <w:szCs w:val="22"/>
        </w:rPr>
        <w:t xml:space="preserve">Review progress against the National Standard Contract and support CSU’s to reduce HCAI infections in line with national thresholds </w:t>
      </w:r>
    </w:p>
    <w:p w14:paraId="78684A12" w14:textId="77777777" w:rsidR="005A1E24" w:rsidRPr="003B741D" w:rsidRDefault="005A1E24" w:rsidP="005A1E24">
      <w:pPr>
        <w:rPr>
          <w:sz w:val="22"/>
          <w:szCs w:val="22"/>
          <w:lang w:val="en-US" w:eastAsia="en-GB"/>
        </w:rPr>
      </w:pPr>
    </w:p>
    <w:p w14:paraId="53EE9903" w14:textId="77777777" w:rsidR="00BD1425" w:rsidRPr="003B741D" w:rsidRDefault="00BD1425" w:rsidP="005A1E24">
      <w:pPr>
        <w:rPr>
          <w:sz w:val="22"/>
          <w:szCs w:val="22"/>
          <w:lang w:val="en-US" w:eastAsia="en-GB"/>
        </w:rPr>
      </w:pPr>
    </w:p>
    <w:p w14:paraId="0370E754" w14:textId="77777777" w:rsidR="00BC61D9" w:rsidRPr="003B741D" w:rsidRDefault="00BC61D9" w:rsidP="00E859ED">
      <w:pPr>
        <w:rPr>
          <w:sz w:val="22"/>
          <w:szCs w:val="22"/>
        </w:rPr>
      </w:pPr>
    </w:p>
    <w:p w14:paraId="1D672FD3" w14:textId="77777777" w:rsidR="003A3864" w:rsidRDefault="003261AF" w:rsidP="003A3864">
      <w:pPr>
        <w:pStyle w:val="Heading2"/>
        <w:rPr>
          <w:rFonts w:ascii="Arial" w:hAnsi="Arial" w:cs="Arial"/>
          <w:sz w:val="24"/>
          <w:szCs w:val="24"/>
          <w:u w:val="none"/>
        </w:rPr>
      </w:pPr>
      <w:bookmarkStart w:id="8" w:name="_Toc64283143"/>
      <w:r>
        <w:rPr>
          <w:rFonts w:ascii="Arial" w:hAnsi="Arial" w:cs="Arial"/>
          <w:sz w:val="24"/>
          <w:szCs w:val="24"/>
          <w:u w:val="none"/>
        </w:rPr>
        <w:t>4</w:t>
      </w:r>
      <w:r w:rsidR="003A3864" w:rsidRPr="00E97939">
        <w:rPr>
          <w:rFonts w:ascii="Arial" w:hAnsi="Arial" w:cs="Arial"/>
          <w:sz w:val="24"/>
          <w:szCs w:val="24"/>
          <w:u w:val="none"/>
        </w:rPr>
        <w:t>.</w:t>
      </w:r>
      <w:r w:rsidR="005D3FBC">
        <w:rPr>
          <w:rFonts w:ascii="Arial" w:hAnsi="Arial" w:cs="Arial"/>
          <w:sz w:val="24"/>
          <w:szCs w:val="24"/>
          <w:u w:val="none"/>
        </w:rPr>
        <w:t>1</w:t>
      </w:r>
      <w:r w:rsidR="00136404">
        <w:rPr>
          <w:rFonts w:ascii="Arial" w:hAnsi="Arial" w:cs="Arial"/>
          <w:sz w:val="24"/>
          <w:szCs w:val="24"/>
          <w:u w:val="none"/>
        </w:rPr>
        <w:t>1</w:t>
      </w:r>
      <w:r w:rsidR="003A3864" w:rsidRPr="00E97939">
        <w:rPr>
          <w:rFonts w:ascii="Arial" w:hAnsi="Arial" w:cs="Arial"/>
          <w:sz w:val="24"/>
          <w:szCs w:val="24"/>
          <w:u w:val="none"/>
        </w:rPr>
        <w:tab/>
        <w:t>Infection Prevention and Control Team (IPCT)</w:t>
      </w:r>
      <w:bookmarkEnd w:id="8"/>
    </w:p>
    <w:p w14:paraId="1AA26EDF" w14:textId="77777777" w:rsidR="009F5168" w:rsidRPr="00644F22" w:rsidRDefault="009F5168" w:rsidP="00522685"/>
    <w:p w14:paraId="648423D9" w14:textId="77777777" w:rsidR="00967C82" w:rsidRDefault="003A3864" w:rsidP="003A3864">
      <w:pPr>
        <w:ind w:left="720" w:hanging="720"/>
        <w:rPr>
          <w:sz w:val="22"/>
          <w:szCs w:val="18"/>
        </w:rPr>
      </w:pPr>
      <w:r w:rsidRPr="00E859ED">
        <w:rPr>
          <w:sz w:val="22"/>
          <w:szCs w:val="18"/>
        </w:rPr>
        <w:t xml:space="preserve">The IPCT </w:t>
      </w:r>
      <w:r w:rsidR="000450F7">
        <w:rPr>
          <w:sz w:val="22"/>
          <w:szCs w:val="18"/>
        </w:rPr>
        <w:t>includes, Consultant Microbiologists, Virologists,</w:t>
      </w:r>
      <w:r w:rsidR="00D06118">
        <w:rPr>
          <w:sz w:val="22"/>
          <w:szCs w:val="18"/>
        </w:rPr>
        <w:t xml:space="preserve"> Infectious Diseases, </w:t>
      </w:r>
    </w:p>
    <w:p w14:paraId="3C601692" w14:textId="77777777" w:rsidR="00967C82" w:rsidRDefault="000450F7" w:rsidP="003A3864">
      <w:pPr>
        <w:ind w:left="720" w:hanging="720"/>
        <w:rPr>
          <w:sz w:val="22"/>
          <w:szCs w:val="18"/>
        </w:rPr>
      </w:pPr>
      <w:r>
        <w:rPr>
          <w:sz w:val="22"/>
          <w:szCs w:val="18"/>
        </w:rPr>
        <w:t xml:space="preserve"> pharmacy infection team, occupational health representative , Infection prevention and</w:t>
      </w:r>
    </w:p>
    <w:p w14:paraId="4D4EB79B" w14:textId="77777777" w:rsidR="00967C82" w:rsidRDefault="000450F7" w:rsidP="003A3864">
      <w:pPr>
        <w:ind w:left="720" w:hanging="720"/>
        <w:rPr>
          <w:sz w:val="22"/>
          <w:szCs w:val="18"/>
        </w:rPr>
      </w:pPr>
      <w:r>
        <w:rPr>
          <w:sz w:val="22"/>
          <w:szCs w:val="18"/>
        </w:rPr>
        <w:t xml:space="preserve"> control Practitioners ( IPCP)and IPC admin team. It </w:t>
      </w:r>
      <w:r w:rsidR="003A3864" w:rsidRPr="00E859ED">
        <w:rPr>
          <w:sz w:val="22"/>
          <w:szCs w:val="18"/>
        </w:rPr>
        <w:t xml:space="preserve">meets monthly to discuss matters </w:t>
      </w:r>
    </w:p>
    <w:p w14:paraId="5FE6839B" w14:textId="77777777" w:rsidR="0052299F" w:rsidRPr="00E859ED" w:rsidRDefault="001121A6" w:rsidP="00E63C37">
      <w:pPr>
        <w:ind w:left="720" w:hanging="720"/>
        <w:rPr>
          <w:sz w:val="22"/>
          <w:szCs w:val="18"/>
        </w:rPr>
      </w:pPr>
      <w:r>
        <w:rPr>
          <w:sz w:val="22"/>
          <w:szCs w:val="18"/>
        </w:rPr>
        <w:t>relating</w:t>
      </w:r>
      <w:r w:rsidR="003A3864" w:rsidRPr="00E859ED">
        <w:rPr>
          <w:sz w:val="22"/>
          <w:szCs w:val="18"/>
        </w:rPr>
        <w:t xml:space="preserve"> to infection prevention control in the Trust</w:t>
      </w:r>
      <w:r>
        <w:rPr>
          <w:sz w:val="22"/>
          <w:szCs w:val="18"/>
        </w:rPr>
        <w:t>,</w:t>
      </w:r>
      <w:r w:rsidR="000B1763" w:rsidRPr="00E859ED">
        <w:rPr>
          <w:sz w:val="22"/>
          <w:szCs w:val="18"/>
        </w:rPr>
        <w:t xml:space="preserve"> to</w:t>
      </w:r>
      <w:r w:rsidR="003A3864" w:rsidRPr="00E859ED">
        <w:rPr>
          <w:sz w:val="22"/>
          <w:szCs w:val="18"/>
        </w:rPr>
        <w:t xml:space="preserve"> review</w:t>
      </w:r>
      <w:r>
        <w:rPr>
          <w:sz w:val="22"/>
          <w:szCs w:val="18"/>
        </w:rPr>
        <w:t xml:space="preserve"> themes and actions from </w:t>
      </w:r>
      <w:r w:rsidR="00D3687C">
        <w:rPr>
          <w:sz w:val="22"/>
          <w:szCs w:val="18"/>
        </w:rPr>
        <w:t>The HCAI multidisciplinary review (</w:t>
      </w:r>
      <w:r>
        <w:rPr>
          <w:sz w:val="22"/>
          <w:szCs w:val="18"/>
        </w:rPr>
        <w:t xml:space="preserve">patient safety incident response framework </w:t>
      </w:r>
      <w:r w:rsidR="00D3687C">
        <w:rPr>
          <w:sz w:val="22"/>
          <w:szCs w:val="18"/>
        </w:rPr>
        <w:t>-</w:t>
      </w:r>
      <w:r>
        <w:rPr>
          <w:sz w:val="22"/>
          <w:szCs w:val="18"/>
        </w:rPr>
        <w:t>PSIRF) investigations, to implement</w:t>
      </w:r>
      <w:r w:rsidR="003A3864" w:rsidRPr="00E859ED">
        <w:rPr>
          <w:sz w:val="22"/>
          <w:szCs w:val="18"/>
        </w:rPr>
        <w:t xml:space="preserve"> best practice</w:t>
      </w:r>
      <w:r>
        <w:rPr>
          <w:sz w:val="22"/>
          <w:szCs w:val="18"/>
        </w:rPr>
        <w:t>, oversee IPC guidance updates</w:t>
      </w:r>
      <w:r w:rsidR="003A3864" w:rsidRPr="00E859ED">
        <w:rPr>
          <w:sz w:val="22"/>
          <w:szCs w:val="18"/>
        </w:rPr>
        <w:t xml:space="preserve"> and offer expert advice and make recommendations to the HCAI </w:t>
      </w:r>
      <w:r w:rsidR="0052299F" w:rsidRPr="00E859ED">
        <w:rPr>
          <w:sz w:val="22"/>
          <w:szCs w:val="18"/>
        </w:rPr>
        <w:t>Group</w:t>
      </w:r>
      <w:r w:rsidR="003A3864" w:rsidRPr="00E859ED">
        <w:rPr>
          <w:sz w:val="22"/>
          <w:szCs w:val="18"/>
        </w:rPr>
        <w:t>.</w:t>
      </w:r>
      <w:r w:rsidR="0052299F" w:rsidRPr="00E859ED">
        <w:rPr>
          <w:sz w:val="22"/>
          <w:szCs w:val="18"/>
        </w:rPr>
        <w:t xml:space="preserve"> The Terms of Reference and membership can be found in Appendix I.</w:t>
      </w:r>
    </w:p>
    <w:p w14:paraId="2953CA65" w14:textId="77777777" w:rsidR="009F5168" w:rsidRPr="00E859ED" w:rsidRDefault="009F5168" w:rsidP="00E859ED">
      <w:pPr>
        <w:rPr>
          <w:sz w:val="22"/>
          <w:szCs w:val="18"/>
        </w:rPr>
      </w:pPr>
    </w:p>
    <w:p w14:paraId="0E884C8D" w14:textId="77777777" w:rsidR="003A3864" w:rsidRPr="00E859ED" w:rsidRDefault="003A3864" w:rsidP="003A3864">
      <w:pPr>
        <w:rPr>
          <w:sz w:val="22"/>
          <w:szCs w:val="18"/>
        </w:rPr>
      </w:pPr>
      <w:r w:rsidRPr="00E859ED">
        <w:rPr>
          <w:sz w:val="22"/>
          <w:szCs w:val="18"/>
        </w:rPr>
        <w:t xml:space="preserve">The IPCT has primary responsibility for reviewing and proposing all aspects of surveillance, prevention and control of infection.  An annual report and an annual programme are produced by the IPCT, consulted through the HCAI </w:t>
      </w:r>
      <w:r w:rsidR="00522685" w:rsidRPr="00E859ED">
        <w:rPr>
          <w:sz w:val="22"/>
          <w:szCs w:val="18"/>
        </w:rPr>
        <w:t xml:space="preserve">Group </w:t>
      </w:r>
      <w:r w:rsidRPr="00E859ED">
        <w:rPr>
          <w:sz w:val="22"/>
          <w:szCs w:val="18"/>
        </w:rPr>
        <w:t xml:space="preserve">and ratified by the Infection Prevention and Control </w:t>
      </w:r>
      <w:r w:rsidR="0052299F" w:rsidRPr="00E859ED">
        <w:rPr>
          <w:sz w:val="22"/>
          <w:szCs w:val="18"/>
        </w:rPr>
        <w:t>Sub-</w:t>
      </w:r>
      <w:r w:rsidRPr="00E859ED">
        <w:rPr>
          <w:sz w:val="22"/>
          <w:szCs w:val="18"/>
        </w:rPr>
        <w:t>Committee before being presented to the Trust Board.</w:t>
      </w:r>
    </w:p>
    <w:p w14:paraId="1DED781E" w14:textId="77777777" w:rsidR="009F5168" w:rsidRPr="00E859ED" w:rsidRDefault="009F5168" w:rsidP="003A3864">
      <w:pPr>
        <w:rPr>
          <w:sz w:val="22"/>
          <w:szCs w:val="18"/>
        </w:rPr>
      </w:pPr>
    </w:p>
    <w:p w14:paraId="3A25E7E6" w14:textId="77777777" w:rsidR="003A3864" w:rsidRPr="00E859ED" w:rsidRDefault="003A3864" w:rsidP="003A3864">
      <w:pPr>
        <w:rPr>
          <w:sz w:val="22"/>
          <w:szCs w:val="18"/>
        </w:rPr>
      </w:pPr>
      <w:r w:rsidRPr="00E859ED">
        <w:rPr>
          <w:sz w:val="22"/>
          <w:szCs w:val="18"/>
        </w:rPr>
        <w:t>The IPCT collaborates closely with the Consultant in Communicable Disease Control (CCDC) and other community infection control colleagues in addition to a wide range of internal and external stakeholders.</w:t>
      </w:r>
    </w:p>
    <w:p w14:paraId="5B3E2397" w14:textId="77777777" w:rsidR="009F5168" w:rsidRPr="00E859ED" w:rsidRDefault="009F5168" w:rsidP="003A3864">
      <w:pPr>
        <w:rPr>
          <w:sz w:val="22"/>
          <w:szCs w:val="18"/>
        </w:rPr>
      </w:pPr>
    </w:p>
    <w:p w14:paraId="79E84B2B" w14:textId="77777777" w:rsidR="003A3864" w:rsidRPr="00E859ED" w:rsidRDefault="003A3864" w:rsidP="003A3864">
      <w:pPr>
        <w:rPr>
          <w:sz w:val="22"/>
          <w:szCs w:val="18"/>
        </w:rPr>
      </w:pPr>
      <w:r w:rsidRPr="00E859ED">
        <w:rPr>
          <w:sz w:val="22"/>
          <w:szCs w:val="18"/>
        </w:rPr>
        <w:t>The role of the IPCT includes:</w:t>
      </w:r>
    </w:p>
    <w:p w14:paraId="5F989F5D" w14:textId="77777777" w:rsidR="003A3864" w:rsidRPr="00E859ED" w:rsidRDefault="003A3864" w:rsidP="003A3864">
      <w:pPr>
        <w:numPr>
          <w:ilvl w:val="0"/>
          <w:numId w:val="7"/>
        </w:numPr>
        <w:rPr>
          <w:sz w:val="22"/>
          <w:szCs w:val="18"/>
        </w:rPr>
      </w:pPr>
      <w:r w:rsidRPr="00E859ED">
        <w:rPr>
          <w:sz w:val="22"/>
          <w:szCs w:val="18"/>
        </w:rPr>
        <w:t>Ensuring that appropriate risk assessments are undertaken and monitored for the prevention and control of infection within the organisation.</w:t>
      </w:r>
    </w:p>
    <w:p w14:paraId="7D269E9B" w14:textId="77777777" w:rsidR="003A3864" w:rsidRPr="00E859ED" w:rsidRDefault="003A3864" w:rsidP="003A3864">
      <w:pPr>
        <w:ind w:left="1440"/>
        <w:rPr>
          <w:sz w:val="22"/>
          <w:szCs w:val="18"/>
        </w:rPr>
      </w:pPr>
    </w:p>
    <w:p w14:paraId="4D9F88C2" w14:textId="77777777" w:rsidR="003A3864" w:rsidRPr="00E859ED" w:rsidRDefault="003A3864" w:rsidP="003A3864">
      <w:pPr>
        <w:numPr>
          <w:ilvl w:val="0"/>
          <w:numId w:val="7"/>
        </w:numPr>
        <w:rPr>
          <w:sz w:val="22"/>
          <w:szCs w:val="18"/>
        </w:rPr>
      </w:pPr>
      <w:r w:rsidRPr="00E859ED">
        <w:rPr>
          <w:sz w:val="22"/>
          <w:szCs w:val="18"/>
        </w:rPr>
        <w:t>Ensuring education and training on the prevention and control of HCAI is provided for all grades of staff.</w:t>
      </w:r>
    </w:p>
    <w:p w14:paraId="7C4E5C68" w14:textId="77777777" w:rsidR="003A3864" w:rsidRPr="00E859ED" w:rsidRDefault="003A3864" w:rsidP="003A3864">
      <w:pPr>
        <w:ind w:left="1440"/>
        <w:rPr>
          <w:sz w:val="22"/>
          <w:szCs w:val="18"/>
        </w:rPr>
      </w:pPr>
    </w:p>
    <w:p w14:paraId="653BEB21" w14:textId="77777777" w:rsidR="003A3864" w:rsidRPr="00E859ED" w:rsidRDefault="003A3864" w:rsidP="003A3864">
      <w:pPr>
        <w:numPr>
          <w:ilvl w:val="0"/>
          <w:numId w:val="7"/>
        </w:numPr>
        <w:rPr>
          <w:sz w:val="22"/>
          <w:szCs w:val="18"/>
        </w:rPr>
      </w:pPr>
      <w:r w:rsidRPr="00E859ED">
        <w:rPr>
          <w:sz w:val="22"/>
          <w:szCs w:val="18"/>
        </w:rPr>
        <w:t xml:space="preserve">Undertaking surveillance of infection (see appendix </w:t>
      </w:r>
      <w:r w:rsidR="0052299F" w:rsidRPr="00E859ED">
        <w:rPr>
          <w:sz w:val="22"/>
          <w:szCs w:val="18"/>
        </w:rPr>
        <w:t>2</w:t>
      </w:r>
      <w:r w:rsidRPr="00E859ED">
        <w:rPr>
          <w:sz w:val="22"/>
          <w:szCs w:val="18"/>
        </w:rPr>
        <w:t xml:space="preserve"> for details of surveillance and audit).</w:t>
      </w:r>
    </w:p>
    <w:p w14:paraId="46B839D0" w14:textId="77777777" w:rsidR="003A3864" w:rsidRPr="00E859ED" w:rsidRDefault="003A3864" w:rsidP="003A3864">
      <w:pPr>
        <w:rPr>
          <w:sz w:val="22"/>
          <w:szCs w:val="18"/>
        </w:rPr>
      </w:pPr>
    </w:p>
    <w:p w14:paraId="248EBED3" w14:textId="77777777" w:rsidR="003A3864" w:rsidRPr="00E859ED" w:rsidRDefault="003A3864" w:rsidP="003A3864">
      <w:pPr>
        <w:numPr>
          <w:ilvl w:val="0"/>
          <w:numId w:val="7"/>
        </w:numPr>
        <w:rPr>
          <w:sz w:val="22"/>
          <w:szCs w:val="18"/>
        </w:rPr>
      </w:pPr>
      <w:r w:rsidRPr="00E859ED">
        <w:rPr>
          <w:sz w:val="22"/>
          <w:szCs w:val="18"/>
        </w:rPr>
        <w:t>Producing, implementing, and auditing compliance with infection control policies and guidelines</w:t>
      </w:r>
      <w:r w:rsidR="000450F7">
        <w:rPr>
          <w:sz w:val="22"/>
          <w:szCs w:val="18"/>
        </w:rPr>
        <w:t xml:space="preserve"> including antimicrobial stewardship</w:t>
      </w:r>
      <w:r w:rsidRPr="00E859ED">
        <w:rPr>
          <w:sz w:val="22"/>
          <w:szCs w:val="18"/>
        </w:rPr>
        <w:t>.</w:t>
      </w:r>
    </w:p>
    <w:p w14:paraId="133B6B76" w14:textId="77777777" w:rsidR="003A3864" w:rsidRPr="00E859ED" w:rsidRDefault="003A3864" w:rsidP="003A3864">
      <w:pPr>
        <w:rPr>
          <w:sz w:val="22"/>
          <w:szCs w:val="18"/>
        </w:rPr>
      </w:pPr>
    </w:p>
    <w:p w14:paraId="69965A4B" w14:textId="77777777" w:rsidR="003A3864" w:rsidRPr="00E859ED" w:rsidRDefault="003A3864" w:rsidP="003A3864">
      <w:pPr>
        <w:numPr>
          <w:ilvl w:val="0"/>
          <w:numId w:val="7"/>
        </w:numPr>
        <w:rPr>
          <w:sz w:val="22"/>
          <w:szCs w:val="18"/>
        </w:rPr>
      </w:pPr>
      <w:r w:rsidRPr="00E859ED">
        <w:rPr>
          <w:sz w:val="22"/>
          <w:szCs w:val="18"/>
        </w:rPr>
        <w:lastRenderedPageBreak/>
        <w:t xml:space="preserve">Liaising, communicating and advising all staff on a </w:t>
      </w:r>
      <w:r w:rsidR="0052299F" w:rsidRPr="00E859ED">
        <w:rPr>
          <w:sz w:val="22"/>
          <w:szCs w:val="18"/>
        </w:rPr>
        <w:t>day-to-day</w:t>
      </w:r>
      <w:r w:rsidRPr="00E859ED">
        <w:rPr>
          <w:sz w:val="22"/>
          <w:szCs w:val="18"/>
        </w:rPr>
        <w:t xml:space="preserve"> basis on all matters relating to infection control and ensuring advice on infection control is available on a 24 hour basis.</w:t>
      </w:r>
    </w:p>
    <w:p w14:paraId="4812D393" w14:textId="77777777" w:rsidR="003A3864" w:rsidRPr="00E859ED" w:rsidRDefault="003A3864" w:rsidP="003A3864">
      <w:pPr>
        <w:rPr>
          <w:sz w:val="22"/>
          <w:szCs w:val="18"/>
        </w:rPr>
      </w:pPr>
    </w:p>
    <w:p w14:paraId="154B9090" w14:textId="77777777" w:rsidR="003A3864" w:rsidRPr="00E859ED" w:rsidRDefault="003A3864" w:rsidP="003A3864">
      <w:pPr>
        <w:numPr>
          <w:ilvl w:val="0"/>
          <w:numId w:val="7"/>
        </w:numPr>
        <w:rPr>
          <w:sz w:val="22"/>
          <w:szCs w:val="18"/>
        </w:rPr>
      </w:pPr>
      <w:r w:rsidRPr="00E859ED">
        <w:rPr>
          <w:sz w:val="22"/>
          <w:szCs w:val="18"/>
        </w:rPr>
        <w:t>Enabling and supporting CSUs with IPC activities.</w:t>
      </w:r>
    </w:p>
    <w:p w14:paraId="0EF595D8" w14:textId="77777777" w:rsidR="00E9091B" w:rsidRPr="00E859ED" w:rsidRDefault="00E9091B" w:rsidP="00522685">
      <w:pPr>
        <w:pStyle w:val="ListParagraph"/>
        <w:rPr>
          <w:sz w:val="22"/>
          <w:szCs w:val="18"/>
        </w:rPr>
      </w:pPr>
    </w:p>
    <w:p w14:paraId="7E82356A" w14:textId="77777777" w:rsidR="00E9091B" w:rsidRPr="00E859ED" w:rsidRDefault="00E9091B" w:rsidP="003A3864">
      <w:pPr>
        <w:numPr>
          <w:ilvl w:val="0"/>
          <w:numId w:val="7"/>
        </w:numPr>
        <w:rPr>
          <w:sz w:val="22"/>
          <w:szCs w:val="18"/>
        </w:rPr>
      </w:pPr>
      <w:r w:rsidRPr="00E859ED">
        <w:rPr>
          <w:sz w:val="22"/>
          <w:szCs w:val="18"/>
        </w:rPr>
        <w:t>Oversight of infection prevention and control guidance documents and communication to the wider organisation</w:t>
      </w:r>
    </w:p>
    <w:p w14:paraId="64481B51" w14:textId="77777777" w:rsidR="003A3864" w:rsidRPr="00E859ED" w:rsidRDefault="003A3864" w:rsidP="003A3864">
      <w:pPr>
        <w:rPr>
          <w:sz w:val="22"/>
          <w:szCs w:val="18"/>
        </w:rPr>
      </w:pPr>
    </w:p>
    <w:p w14:paraId="3D4CDD59" w14:textId="77777777" w:rsidR="003A3864" w:rsidRPr="00E859ED" w:rsidRDefault="003A3864" w:rsidP="003A3864">
      <w:pPr>
        <w:numPr>
          <w:ilvl w:val="0"/>
          <w:numId w:val="7"/>
        </w:numPr>
        <w:spacing w:after="200"/>
        <w:rPr>
          <w:sz w:val="22"/>
          <w:szCs w:val="18"/>
        </w:rPr>
      </w:pPr>
      <w:r w:rsidRPr="00E859ED">
        <w:rPr>
          <w:sz w:val="22"/>
          <w:szCs w:val="18"/>
        </w:rPr>
        <w:t>Providing advice on the prevention and control of infection in the built environment for all new build and refurbishment work within and affecting LTHT.  This includes identifying adequate provision of isolation facilities.</w:t>
      </w:r>
    </w:p>
    <w:p w14:paraId="48D480E3" w14:textId="77777777" w:rsidR="003A3864" w:rsidRPr="00E859ED" w:rsidRDefault="003A3864" w:rsidP="003A3864">
      <w:pPr>
        <w:pStyle w:val="Heading2"/>
        <w:rPr>
          <w:rFonts w:ascii="Arial" w:hAnsi="Arial" w:cs="Arial"/>
          <w:sz w:val="22"/>
          <w:szCs w:val="22"/>
          <w:u w:val="none"/>
        </w:rPr>
      </w:pPr>
    </w:p>
    <w:p w14:paraId="1B617157" w14:textId="77777777" w:rsidR="003A3864" w:rsidRDefault="003261AF" w:rsidP="003A3864">
      <w:pPr>
        <w:pStyle w:val="Heading2"/>
        <w:rPr>
          <w:rFonts w:ascii="Arial" w:hAnsi="Arial" w:cs="Arial"/>
          <w:sz w:val="24"/>
          <w:szCs w:val="24"/>
          <w:u w:val="none"/>
        </w:rPr>
      </w:pPr>
      <w:bookmarkStart w:id="9" w:name="_Toc64283145"/>
      <w:r>
        <w:rPr>
          <w:rFonts w:ascii="Arial" w:hAnsi="Arial" w:cs="Arial"/>
          <w:sz w:val="24"/>
          <w:szCs w:val="24"/>
          <w:u w:val="none"/>
        </w:rPr>
        <w:t>4</w:t>
      </w:r>
      <w:r w:rsidR="003A3864" w:rsidRPr="00E97939">
        <w:rPr>
          <w:rFonts w:ascii="Arial" w:hAnsi="Arial" w:cs="Arial"/>
          <w:sz w:val="24"/>
          <w:szCs w:val="24"/>
          <w:u w:val="none"/>
        </w:rPr>
        <w:t>.</w:t>
      </w:r>
      <w:r w:rsidR="001121A6">
        <w:rPr>
          <w:rFonts w:ascii="Arial" w:hAnsi="Arial" w:cs="Arial"/>
          <w:sz w:val="24"/>
          <w:szCs w:val="24"/>
          <w:u w:val="none"/>
        </w:rPr>
        <w:t>1</w:t>
      </w:r>
      <w:r w:rsidR="00136404">
        <w:rPr>
          <w:rFonts w:ascii="Arial" w:hAnsi="Arial" w:cs="Arial"/>
          <w:sz w:val="24"/>
          <w:szCs w:val="24"/>
          <w:u w:val="none"/>
        </w:rPr>
        <w:t>2</w:t>
      </w:r>
      <w:r w:rsidR="003A3864" w:rsidRPr="00E97939">
        <w:rPr>
          <w:rFonts w:ascii="Arial" w:hAnsi="Arial" w:cs="Arial"/>
          <w:sz w:val="24"/>
          <w:szCs w:val="24"/>
          <w:u w:val="none"/>
        </w:rPr>
        <w:tab/>
        <w:t xml:space="preserve">Clinical Directors, Heads of units/departments, General Managers, and </w:t>
      </w:r>
      <w:r w:rsidR="003A3864" w:rsidRPr="00E97939">
        <w:rPr>
          <w:rFonts w:ascii="Arial" w:hAnsi="Arial" w:cs="Arial"/>
          <w:sz w:val="24"/>
          <w:szCs w:val="24"/>
          <w:u w:val="none"/>
        </w:rPr>
        <w:tab/>
        <w:t>Heads of Nursing</w:t>
      </w:r>
      <w:bookmarkEnd w:id="9"/>
    </w:p>
    <w:p w14:paraId="0445C72A" w14:textId="77777777" w:rsidR="000B1763" w:rsidRPr="00644F22" w:rsidRDefault="000B1763" w:rsidP="00522685"/>
    <w:p w14:paraId="03F63E59" w14:textId="77777777" w:rsidR="003A3864" w:rsidRPr="00E859ED" w:rsidRDefault="003A3864" w:rsidP="003A3864">
      <w:pPr>
        <w:rPr>
          <w:sz w:val="22"/>
          <w:szCs w:val="18"/>
        </w:rPr>
      </w:pPr>
      <w:r w:rsidRPr="00E859ED">
        <w:rPr>
          <w:sz w:val="22"/>
          <w:szCs w:val="18"/>
        </w:rPr>
        <w:t>Be responsible for managing the performance within their CSUs.  They are jointly responsible to ensure their CSU is compliant with the Trust HCAI agenda.  They will have a clear understanding of infection data for each area and specialism within the CSU to identify trends and hotspot areas</w:t>
      </w:r>
    </w:p>
    <w:p w14:paraId="18C296A1" w14:textId="77777777" w:rsidR="003A3864" w:rsidRPr="00E859ED" w:rsidRDefault="003A3864" w:rsidP="003A3864">
      <w:pPr>
        <w:rPr>
          <w:sz w:val="22"/>
          <w:szCs w:val="18"/>
          <w:lang w:val="en-US"/>
        </w:rPr>
      </w:pPr>
    </w:p>
    <w:p w14:paraId="7C195E19" w14:textId="77777777" w:rsidR="003A3864" w:rsidRPr="00E859ED" w:rsidRDefault="003A3864" w:rsidP="003A3864">
      <w:pPr>
        <w:rPr>
          <w:sz w:val="22"/>
          <w:szCs w:val="18"/>
        </w:rPr>
      </w:pPr>
      <w:r w:rsidRPr="00E859ED">
        <w:rPr>
          <w:sz w:val="22"/>
          <w:szCs w:val="18"/>
        </w:rPr>
        <w:t>The Triumvirate Team must ensure that management arrangements are in place to achieve the following:</w:t>
      </w:r>
    </w:p>
    <w:p w14:paraId="743BED73" w14:textId="77777777" w:rsidR="003A3864" w:rsidRPr="00E859ED" w:rsidRDefault="003A3864" w:rsidP="003A3864">
      <w:pPr>
        <w:numPr>
          <w:ilvl w:val="0"/>
          <w:numId w:val="6"/>
        </w:numPr>
        <w:spacing w:before="200" w:after="200"/>
        <w:rPr>
          <w:sz w:val="22"/>
          <w:szCs w:val="18"/>
        </w:rPr>
      </w:pPr>
      <w:r w:rsidRPr="00E859ED">
        <w:rPr>
          <w:sz w:val="22"/>
          <w:szCs w:val="18"/>
        </w:rPr>
        <w:t>Infection prevention and control considerations are addressed when services are being developed /redeveloped.</w:t>
      </w:r>
    </w:p>
    <w:p w14:paraId="3A114518" w14:textId="77777777" w:rsidR="003A3864" w:rsidRPr="00E859ED" w:rsidRDefault="003A3864" w:rsidP="003A3864">
      <w:pPr>
        <w:numPr>
          <w:ilvl w:val="0"/>
          <w:numId w:val="6"/>
        </w:numPr>
        <w:spacing w:after="200"/>
        <w:rPr>
          <w:sz w:val="22"/>
          <w:szCs w:val="18"/>
        </w:rPr>
      </w:pPr>
      <w:r w:rsidRPr="00E859ED">
        <w:rPr>
          <w:sz w:val="22"/>
          <w:szCs w:val="18"/>
        </w:rPr>
        <w:t>All newly appointed staff receive education in IPC on induction and according to their individual training needs analysis.</w:t>
      </w:r>
    </w:p>
    <w:p w14:paraId="43948E59" w14:textId="77777777" w:rsidR="003A3864" w:rsidRPr="00E859ED" w:rsidRDefault="003A3864" w:rsidP="003A3864">
      <w:pPr>
        <w:numPr>
          <w:ilvl w:val="0"/>
          <w:numId w:val="6"/>
        </w:numPr>
        <w:spacing w:after="200"/>
        <w:rPr>
          <w:sz w:val="22"/>
          <w:szCs w:val="18"/>
        </w:rPr>
      </w:pPr>
      <w:r w:rsidRPr="00E859ED">
        <w:rPr>
          <w:sz w:val="22"/>
          <w:szCs w:val="18"/>
        </w:rPr>
        <w:t>Ensure workforce planning allows time for the receipt of education and training in the prevention and control of infection.</w:t>
      </w:r>
    </w:p>
    <w:p w14:paraId="3525C400" w14:textId="77777777" w:rsidR="003A3864" w:rsidRPr="00E859ED" w:rsidRDefault="003A3864" w:rsidP="003A3864">
      <w:pPr>
        <w:numPr>
          <w:ilvl w:val="0"/>
          <w:numId w:val="6"/>
        </w:numPr>
        <w:spacing w:after="200"/>
        <w:rPr>
          <w:b/>
          <w:sz w:val="22"/>
          <w:szCs w:val="18"/>
        </w:rPr>
      </w:pPr>
      <w:r w:rsidRPr="00E859ED">
        <w:rPr>
          <w:sz w:val="22"/>
          <w:szCs w:val="18"/>
        </w:rPr>
        <w:t>IPC is incorporated into all staff job descriptions and discussed thoroughly at appraisals and personal performance development meetings.</w:t>
      </w:r>
    </w:p>
    <w:p w14:paraId="04DCFB69" w14:textId="77777777" w:rsidR="003A3864" w:rsidRPr="00E859ED" w:rsidRDefault="003A3864" w:rsidP="003A3864">
      <w:pPr>
        <w:numPr>
          <w:ilvl w:val="0"/>
          <w:numId w:val="6"/>
        </w:numPr>
        <w:spacing w:after="200"/>
        <w:rPr>
          <w:sz w:val="22"/>
          <w:szCs w:val="18"/>
        </w:rPr>
      </w:pPr>
      <w:r w:rsidRPr="00E859ED">
        <w:rPr>
          <w:sz w:val="22"/>
          <w:szCs w:val="18"/>
        </w:rPr>
        <w:t xml:space="preserve">Adequate resources are </w:t>
      </w:r>
      <w:r w:rsidR="0052299F" w:rsidRPr="00E859ED">
        <w:rPr>
          <w:sz w:val="22"/>
          <w:szCs w:val="18"/>
        </w:rPr>
        <w:t>available,</w:t>
      </w:r>
      <w:r w:rsidRPr="00E859ED">
        <w:rPr>
          <w:sz w:val="22"/>
          <w:szCs w:val="18"/>
        </w:rPr>
        <w:t xml:space="preserve"> and the necessary training is undertaken to make sure staff are competent to fulfil their IPC roles.</w:t>
      </w:r>
    </w:p>
    <w:p w14:paraId="2CA5A298" w14:textId="77777777" w:rsidR="003A3864" w:rsidRPr="00E859ED" w:rsidRDefault="003A3864" w:rsidP="003A3864">
      <w:pPr>
        <w:numPr>
          <w:ilvl w:val="0"/>
          <w:numId w:val="6"/>
        </w:numPr>
        <w:spacing w:before="200" w:after="200"/>
        <w:rPr>
          <w:sz w:val="22"/>
          <w:szCs w:val="18"/>
        </w:rPr>
      </w:pPr>
      <w:r w:rsidRPr="00E859ED">
        <w:rPr>
          <w:sz w:val="22"/>
          <w:szCs w:val="18"/>
        </w:rPr>
        <w:t>Development of local infection prevention and control action plans are part of the objectives for the unit</w:t>
      </w:r>
      <w:r w:rsidR="001121A6">
        <w:rPr>
          <w:sz w:val="22"/>
          <w:szCs w:val="18"/>
        </w:rPr>
        <w:t>, and provide evidence actions are completed</w:t>
      </w:r>
    </w:p>
    <w:p w14:paraId="695B6494" w14:textId="77777777" w:rsidR="003A3864" w:rsidRPr="00E859ED" w:rsidRDefault="003A3864" w:rsidP="003A3864">
      <w:pPr>
        <w:numPr>
          <w:ilvl w:val="0"/>
          <w:numId w:val="6"/>
        </w:numPr>
        <w:spacing w:after="200"/>
        <w:rPr>
          <w:sz w:val="22"/>
          <w:szCs w:val="22"/>
        </w:rPr>
      </w:pPr>
      <w:r w:rsidRPr="00E859ED">
        <w:rPr>
          <w:sz w:val="22"/>
          <w:szCs w:val="22"/>
        </w:rPr>
        <w:t xml:space="preserve">Ensure CSU actions make a contribution to the Trust achieving national targets associated with HCAI. </w:t>
      </w:r>
    </w:p>
    <w:p w14:paraId="722E66EB" w14:textId="77777777" w:rsidR="003A3864" w:rsidRPr="00E859ED" w:rsidRDefault="003A3864" w:rsidP="003A3864">
      <w:pPr>
        <w:numPr>
          <w:ilvl w:val="0"/>
          <w:numId w:val="6"/>
        </w:numPr>
        <w:spacing w:after="200"/>
        <w:rPr>
          <w:sz w:val="22"/>
          <w:szCs w:val="22"/>
        </w:rPr>
      </w:pPr>
      <w:r w:rsidRPr="00E859ED">
        <w:rPr>
          <w:sz w:val="22"/>
          <w:szCs w:val="22"/>
        </w:rPr>
        <w:t>IPC arrangements in their area of responsibility are assessed and monitored with improvements implemented as required.</w:t>
      </w:r>
    </w:p>
    <w:p w14:paraId="792F2773" w14:textId="77777777" w:rsidR="003A3864" w:rsidRPr="00E859ED" w:rsidRDefault="003A3864" w:rsidP="00C475AD">
      <w:pPr>
        <w:numPr>
          <w:ilvl w:val="0"/>
          <w:numId w:val="6"/>
        </w:numPr>
        <w:spacing w:after="200"/>
        <w:rPr>
          <w:b/>
          <w:sz w:val="22"/>
          <w:szCs w:val="22"/>
        </w:rPr>
      </w:pPr>
      <w:r w:rsidRPr="00E859ED">
        <w:rPr>
          <w:sz w:val="22"/>
          <w:szCs w:val="22"/>
        </w:rPr>
        <w:t>CSU hold Infection Prevention and Control Group meetings of appropriate frequency for their performance.  These ensure good communication and assist in the facilitation the development of the action plan.</w:t>
      </w:r>
    </w:p>
    <w:p w14:paraId="21095E24" w14:textId="77777777" w:rsidR="003A3864" w:rsidRPr="00E859ED" w:rsidRDefault="003A3864" w:rsidP="003A3864">
      <w:pPr>
        <w:numPr>
          <w:ilvl w:val="0"/>
          <w:numId w:val="6"/>
        </w:numPr>
        <w:spacing w:after="200"/>
        <w:rPr>
          <w:sz w:val="22"/>
          <w:szCs w:val="22"/>
        </w:rPr>
      </w:pPr>
      <w:r w:rsidRPr="00E859ED">
        <w:rPr>
          <w:sz w:val="22"/>
          <w:szCs w:val="22"/>
        </w:rPr>
        <w:t xml:space="preserve">Performance management of individual CSU teams will be through the Chief Operating Officer (COO) team. </w:t>
      </w:r>
    </w:p>
    <w:p w14:paraId="7F6D4C30" w14:textId="77777777" w:rsidR="003A3864" w:rsidRPr="00E859ED" w:rsidRDefault="003A3864" w:rsidP="003A3864">
      <w:pPr>
        <w:numPr>
          <w:ilvl w:val="0"/>
          <w:numId w:val="6"/>
        </w:numPr>
        <w:spacing w:after="200"/>
        <w:rPr>
          <w:sz w:val="22"/>
          <w:szCs w:val="22"/>
        </w:rPr>
      </w:pPr>
      <w:r w:rsidRPr="00E859ED">
        <w:rPr>
          <w:sz w:val="22"/>
          <w:szCs w:val="22"/>
        </w:rPr>
        <w:lastRenderedPageBreak/>
        <w:t>Ensure that appropriate risk assessments are undertaken and monitored for the prevention and control of infection within their area of responsibility.</w:t>
      </w:r>
    </w:p>
    <w:p w14:paraId="1F10C7B9" w14:textId="77777777" w:rsidR="003A3864" w:rsidRPr="00E859ED" w:rsidRDefault="003A3864" w:rsidP="003A3864">
      <w:pPr>
        <w:numPr>
          <w:ilvl w:val="0"/>
          <w:numId w:val="6"/>
        </w:numPr>
        <w:spacing w:after="200"/>
        <w:rPr>
          <w:sz w:val="22"/>
          <w:szCs w:val="22"/>
        </w:rPr>
      </w:pPr>
      <w:r w:rsidRPr="00E859ED">
        <w:rPr>
          <w:sz w:val="22"/>
          <w:szCs w:val="22"/>
        </w:rPr>
        <w:t>Incorporate the prevention and control of infection as a priority in their business plan, including this as a standing item at staff meetings, thus ensuring performance is reviewed and appropriate actions taken.</w:t>
      </w:r>
    </w:p>
    <w:p w14:paraId="61CAC877" w14:textId="77777777" w:rsidR="003A3864" w:rsidRPr="00E859ED" w:rsidRDefault="003A3864" w:rsidP="003A3864">
      <w:pPr>
        <w:numPr>
          <w:ilvl w:val="0"/>
          <w:numId w:val="6"/>
        </w:numPr>
        <w:spacing w:after="200"/>
        <w:rPr>
          <w:sz w:val="22"/>
          <w:szCs w:val="22"/>
        </w:rPr>
      </w:pPr>
      <w:r w:rsidRPr="00E859ED">
        <w:rPr>
          <w:sz w:val="22"/>
          <w:szCs w:val="22"/>
        </w:rPr>
        <w:t xml:space="preserve">Ensure Methicillin-resistant </w:t>
      </w:r>
      <w:r w:rsidRPr="00E859ED">
        <w:rPr>
          <w:i/>
          <w:sz w:val="22"/>
          <w:szCs w:val="22"/>
        </w:rPr>
        <w:t>S. aureus</w:t>
      </w:r>
      <w:r w:rsidRPr="00E859ED">
        <w:rPr>
          <w:sz w:val="22"/>
          <w:szCs w:val="22"/>
        </w:rPr>
        <w:t xml:space="preserve"> (MRSA) bacteraemia, Methicillin-sensitive </w:t>
      </w:r>
      <w:r w:rsidRPr="00E859ED">
        <w:rPr>
          <w:i/>
          <w:sz w:val="22"/>
          <w:szCs w:val="22"/>
        </w:rPr>
        <w:t>S. aureus</w:t>
      </w:r>
      <w:r w:rsidRPr="00E859ED">
        <w:rPr>
          <w:sz w:val="22"/>
          <w:szCs w:val="22"/>
        </w:rPr>
        <w:t xml:space="preserve"> (MSSA) bacteraemia, Gram</w:t>
      </w:r>
      <w:r w:rsidR="001121A6">
        <w:rPr>
          <w:sz w:val="22"/>
          <w:szCs w:val="22"/>
        </w:rPr>
        <w:t>-</w:t>
      </w:r>
      <w:r w:rsidRPr="00E859ED">
        <w:rPr>
          <w:sz w:val="22"/>
          <w:szCs w:val="22"/>
        </w:rPr>
        <w:t xml:space="preserve">negative blood stream infections (GNBSI) and </w:t>
      </w:r>
      <w:r w:rsidRPr="00E859ED">
        <w:rPr>
          <w:i/>
          <w:sz w:val="22"/>
          <w:szCs w:val="22"/>
        </w:rPr>
        <w:t>C. difficile</w:t>
      </w:r>
      <w:r w:rsidRPr="00E859ED">
        <w:rPr>
          <w:sz w:val="22"/>
          <w:szCs w:val="22"/>
        </w:rPr>
        <w:t xml:space="preserve"> targets are met within their area of responsibility.</w:t>
      </w:r>
    </w:p>
    <w:p w14:paraId="3B796947" w14:textId="77777777" w:rsidR="003A3864" w:rsidRPr="00E859ED" w:rsidRDefault="003A3864" w:rsidP="003A3864">
      <w:pPr>
        <w:numPr>
          <w:ilvl w:val="0"/>
          <w:numId w:val="6"/>
        </w:numPr>
        <w:spacing w:after="200"/>
        <w:rPr>
          <w:sz w:val="22"/>
          <w:szCs w:val="22"/>
        </w:rPr>
      </w:pPr>
      <w:r w:rsidRPr="00E859ED">
        <w:rPr>
          <w:sz w:val="22"/>
          <w:szCs w:val="22"/>
        </w:rPr>
        <w:t>Ensure that where preventable infection risks are identified these are addressed in a timely fashion; if preventable risks still exist these should be entered onto the risk register with a plan of action.</w:t>
      </w:r>
    </w:p>
    <w:p w14:paraId="3BC89FC9" w14:textId="77777777" w:rsidR="003A3864" w:rsidRPr="00E859ED" w:rsidRDefault="003A3864" w:rsidP="003A3864">
      <w:pPr>
        <w:numPr>
          <w:ilvl w:val="0"/>
          <w:numId w:val="6"/>
        </w:numPr>
        <w:spacing w:after="200"/>
        <w:rPr>
          <w:sz w:val="22"/>
          <w:szCs w:val="22"/>
        </w:rPr>
      </w:pPr>
      <w:r w:rsidRPr="00E859ED">
        <w:rPr>
          <w:sz w:val="22"/>
          <w:szCs w:val="22"/>
        </w:rPr>
        <w:t>Monitor compliance with this policy in their areas of responsibility by considering data collected via the Trust’s Risk and Safety Performance Standards/audit tool and take positive action if poor performance is identified.</w:t>
      </w:r>
    </w:p>
    <w:p w14:paraId="1AA6B771" w14:textId="77777777" w:rsidR="003A3864" w:rsidRPr="00E859ED" w:rsidRDefault="003A3864" w:rsidP="003A3864">
      <w:pPr>
        <w:numPr>
          <w:ilvl w:val="0"/>
          <w:numId w:val="8"/>
        </w:numPr>
        <w:spacing w:after="200"/>
        <w:rPr>
          <w:sz w:val="22"/>
          <w:szCs w:val="18"/>
        </w:rPr>
      </w:pPr>
      <w:r w:rsidRPr="00E859ED">
        <w:rPr>
          <w:sz w:val="22"/>
          <w:szCs w:val="18"/>
        </w:rPr>
        <w:t>Ensuring all LTHT Infection Prevention and Control policies and guidelines are communicated and implemented.</w:t>
      </w:r>
    </w:p>
    <w:p w14:paraId="08D8203A" w14:textId="77777777" w:rsidR="003A3864" w:rsidRPr="00E859ED" w:rsidRDefault="003A3864" w:rsidP="003A3864">
      <w:pPr>
        <w:numPr>
          <w:ilvl w:val="0"/>
          <w:numId w:val="8"/>
        </w:numPr>
        <w:spacing w:after="200"/>
        <w:rPr>
          <w:sz w:val="22"/>
          <w:szCs w:val="18"/>
        </w:rPr>
      </w:pPr>
      <w:r w:rsidRPr="00E859ED">
        <w:rPr>
          <w:sz w:val="22"/>
          <w:szCs w:val="18"/>
        </w:rPr>
        <w:t>Ensuring audits of compliance with infection prevention and control policies (e.g. hand hygiene, personal protective equipment) are completed and action plans are in place to address areas of shortfall.</w:t>
      </w:r>
    </w:p>
    <w:p w14:paraId="6659110F" w14:textId="77777777" w:rsidR="007B5EEE" w:rsidRPr="00E859ED" w:rsidRDefault="007B5EEE" w:rsidP="007B5EEE">
      <w:pPr>
        <w:pStyle w:val="ListParagraph"/>
        <w:numPr>
          <w:ilvl w:val="0"/>
          <w:numId w:val="8"/>
        </w:numPr>
        <w:rPr>
          <w:sz w:val="22"/>
          <w:szCs w:val="18"/>
        </w:rPr>
      </w:pPr>
      <w:r w:rsidRPr="00E859ED">
        <w:rPr>
          <w:sz w:val="22"/>
          <w:szCs w:val="18"/>
        </w:rPr>
        <w:t>Provide assurance against the BAF in conjunction with the HCAI Annual plan</w:t>
      </w:r>
      <w:r w:rsidR="00E859ED">
        <w:rPr>
          <w:sz w:val="22"/>
          <w:szCs w:val="18"/>
        </w:rPr>
        <w:t>,</w:t>
      </w:r>
      <w:r w:rsidRPr="00E859ED">
        <w:rPr>
          <w:sz w:val="22"/>
          <w:szCs w:val="18"/>
        </w:rPr>
        <w:t xml:space="preserve"> </w:t>
      </w:r>
      <w:r w:rsidR="00E859ED">
        <w:rPr>
          <w:sz w:val="22"/>
          <w:szCs w:val="18"/>
        </w:rPr>
        <w:t xml:space="preserve">identify gaps and mitigation required to achieve compliance </w:t>
      </w:r>
    </w:p>
    <w:p w14:paraId="01F04AF0" w14:textId="77777777" w:rsidR="007B5EEE" w:rsidRPr="00E859ED" w:rsidRDefault="007B5EEE" w:rsidP="00E859ED">
      <w:pPr>
        <w:pStyle w:val="ListParagraph"/>
        <w:ind w:left="1440"/>
        <w:rPr>
          <w:sz w:val="22"/>
          <w:szCs w:val="18"/>
        </w:rPr>
      </w:pPr>
    </w:p>
    <w:p w14:paraId="7A778E89" w14:textId="77777777" w:rsidR="003A3864" w:rsidRPr="00E859ED" w:rsidRDefault="00F4588E" w:rsidP="003A3864">
      <w:pPr>
        <w:numPr>
          <w:ilvl w:val="0"/>
          <w:numId w:val="8"/>
        </w:numPr>
        <w:spacing w:after="200"/>
        <w:rPr>
          <w:sz w:val="22"/>
          <w:szCs w:val="18"/>
        </w:rPr>
      </w:pPr>
      <w:r w:rsidRPr="00E859ED">
        <w:rPr>
          <w:sz w:val="22"/>
          <w:szCs w:val="22"/>
        </w:rPr>
        <w:t xml:space="preserve">The </w:t>
      </w:r>
      <w:r w:rsidR="00D3687C">
        <w:rPr>
          <w:color w:val="000000"/>
          <w:spacing w:val="-8"/>
          <w:sz w:val="22"/>
          <w:szCs w:val="22"/>
        </w:rPr>
        <w:t xml:space="preserve">HCAI MDT  review </w:t>
      </w:r>
      <w:r w:rsidR="005A1E24" w:rsidRPr="00E859ED">
        <w:rPr>
          <w:color w:val="000000"/>
          <w:spacing w:val="-8"/>
          <w:sz w:val="22"/>
          <w:szCs w:val="22"/>
        </w:rPr>
        <w:t>(PSIRF)</w:t>
      </w:r>
      <w:r w:rsidRPr="00E859ED">
        <w:rPr>
          <w:color w:val="000000"/>
          <w:spacing w:val="-8"/>
          <w:sz w:val="22"/>
          <w:szCs w:val="22"/>
        </w:rPr>
        <w:t xml:space="preserve"> to</w:t>
      </w:r>
      <w:r w:rsidR="005A1E24" w:rsidRPr="00E859ED">
        <w:rPr>
          <w:color w:val="000000"/>
          <w:spacing w:val="-8"/>
          <w:sz w:val="22"/>
          <w:szCs w:val="22"/>
        </w:rPr>
        <w:t xml:space="preserve"> </w:t>
      </w:r>
      <w:r w:rsidRPr="00E859ED">
        <w:rPr>
          <w:sz w:val="22"/>
          <w:szCs w:val="18"/>
        </w:rPr>
        <w:t xml:space="preserve">is </w:t>
      </w:r>
      <w:r w:rsidR="00E9091B" w:rsidRPr="00E859ED">
        <w:rPr>
          <w:sz w:val="22"/>
          <w:szCs w:val="18"/>
        </w:rPr>
        <w:t>used to</w:t>
      </w:r>
      <w:r w:rsidR="003A3864" w:rsidRPr="00E859ED">
        <w:rPr>
          <w:sz w:val="22"/>
          <w:szCs w:val="18"/>
        </w:rPr>
        <w:t xml:space="preserve"> investigate all MRSA bacteraemia, MSSA bacteraemia, GNBSIs and CDI cases</w:t>
      </w:r>
      <w:r w:rsidRPr="00E859ED">
        <w:rPr>
          <w:sz w:val="22"/>
          <w:szCs w:val="18"/>
        </w:rPr>
        <w:t xml:space="preserve"> to identify areas potential learning and improvement</w:t>
      </w:r>
      <w:r w:rsidR="001121A6">
        <w:rPr>
          <w:sz w:val="22"/>
          <w:szCs w:val="18"/>
        </w:rPr>
        <w:t xml:space="preserve"> </w:t>
      </w:r>
      <w:r w:rsidR="003A3864" w:rsidRPr="00E859ED">
        <w:rPr>
          <w:sz w:val="22"/>
          <w:szCs w:val="18"/>
        </w:rPr>
        <w:t xml:space="preserve">and ensure action plans are </w:t>
      </w:r>
      <w:r w:rsidR="001121A6">
        <w:rPr>
          <w:sz w:val="22"/>
          <w:szCs w:val="18"/>
        </w:rPr>
        <w:t>completed</w:t>
      </w:r>
      <w:r w:rsidR="003A3864" w:rsidRPr="00E859ED">
        <w:rPr>
          <w:sz w:val="22"/>
          <w:szCs w:val="18"/>
        </w:rPr>
        <w:t>.</w:t>
      </w:r>
    </w:p>
    <w:p w14:paraId="57A40433" w14:textId="77777777" w:rsidR="003A3864" w:rsidRPr="00E859ED" w:rsidRDefault="003A3864" w:rsidP="003A3864">
      <w:pPr>
        <w:numPr>
          <w:ilvl w:val="0"/>
          <w:numId w:val="8"/>
        </w:numPr>
        <w:spacing w:after="200"/>
        <w:rPr>
          <w:sz w:val="22"/>
          <w:szCs w:val="18"/>
        </w:rPr>
      </w:pPr>
      <w:r w:rsidRPr="00E859ED">
        <w:rPr>
          <w:sz w:val="22"/>
          <w:szCs w:val="18"/>
        </w:rPr>
        <w:t xml:space="preserve">Ensure </w:t>
      </w:r>
      <w:r w:rsidR="0052299F" w:rsidRPr="00E859ED">
        <w:rPr>
          <w:sz w:val="22"/>
          <w:szCs w:val="18"/>
        </w:rPr>
        <w:t>HCAI investigations</w:t>
      </w:r>
      <w:r w:rsidRPr="00E859ED">
        <w:rPr>
          <w:sz w:val="22"/>
          <w:szCs w:val="18"/>
        </w:rPr>
        <w:t xml:space="preserve"> are reviewed as part of the CSU </w:t>
      </w:r>
      <w:r w:rsidR="0048284B" w:rsidRPr="00E859ED">
        <w:rPr>
          <w:sz w:val="22"/>
          <w:szCs w:val="18"/>
        </w:rPr>
        <w:t>and organisation’s</w:t>
      </w:r>
      <w:r w:rsidRPr="00E859ED">
        <w:rPr>
          <w:sz w:val="22"/>
          <w:szCs w:val="18"/>
        </w:rPr>
        <w:t xml:space="preserve"> Clinical Governance and Patient Safety structure.</w:t>
      </w:r>
    </w:p>
    <w:p w14:paraId="4A41EE9F" w14:textId="77777777" w:rsidR="003A3864" w:rsidRPr="00E859ED" w:rsidRDefault="003A3864" w:rsidP="003A3864">
      <w:pPr>
        <w:numPr>
          <w:ilvl w:val="0"/>
          <w:numId w:val="8"/>
        </w:numPr>
        <w:spacing w:after="200"/>
        <w:rPr>
          <w:sz w:val="22"/>
          <w:szCs w:val="18"/>
        </w:rPr>
      </w:pPr>
      <w:r w:rsidRPr="00E859ED">
        <w:rPr>
          <w:sz w:val="22"/>
          <w:szCs w:val="18"/>
        </w:rPr>
        <w:t xml:space="preserve">Create an environment where infection prevention and control is seen as a key element in the patient safety agenda. </w:t>
      </w:r>
    </w:p>
    <w:p w14:paraId="5E6C1849" w14:textId="77777777" w:rsidR="003A3864" w:rsidRPr="00E859ED" w:rsidRDefault="003A3864" w:rsidP="003A3864">
      <w:pPr>
        <w:numPr>
          <w:ilvl w:val="0"/>
          <w:numId w:val="8"/>
        </w:numPr>
        <w:spacing w:after="200"/>
        <w:rPr>
          <w:sz w:val="22"/>
          <w:szCs w:val="18"/>
        </w:rPr>
      </w:pPr>
      <w:r w:rsidRPr="00E859ED">
        <w:rPr>
          <w:sz w:val="22"/>
          <w:szCs w:val="18"/>
        </w:rPr>
        <w:t>Challenge any unsafe practice with regard to infection prevention and control and ensure that actions are taken to address this.</w:t>
      </w:r>
    </w:p>
    <w:p w14:paraId="73EC9024" w14:textId="77777777" w:rsidR="007A2104" w:rsidRDefault="007A2104" w:rsidP="003A3864">
      <w:pPr>
        <w:numPr>
          <w:ilvl w:val="0"/>
          <w:numId w:val="8"/>
        </w:numPr>
        <w:spacing w:after="200"/>
        <w:rPr>
          <w:sz w:val="22"/>
          <w:szCs w:val="18"/>
        </w:rPr>
      </w:pPr>
      <w:r w:rsidRPr="00E859ED">
        <w:rPr>
          <w:sz w:val="22"/>
          <w:szCs w:val="18"/>
        </w:rPr>
        <w:t>Provide oversight of anti-microbial prescribing practices in their clinical area, with appropriate training, audit and interventions to provide assurance of best practice and adherence to trust antimicrobial guidance</w:t>
      </w:r>
    </w:p>
    <w:p w14:paraId="5562BD4C" w14:textId="77777777" w:rsidR="005D3FBC" w:rsidRPr="00967C82" w:rsidRDefault="005D3FBC" w:rsidP="005D3FBC">
      <w:pPr>
        <w:spacing w:after="200"/>
        <w:rPr>
          <w:b/>
          <w:bCs/>
          <w:color w:val="000000" w:themeColor="text1"/>
          <w:szCs w:val="24"/>
        </w:rPr>
      </w:pPr>
      <w:r w:rsidRPr="00967C82">
        <w:rPr>
          <w:b/>
          <w:color w:val="000000" w:themeColor="text1"/>
          <w:szCs w:val="24"/>
        </w:rPr>
        <w:t>4.1</w:t>
      </w:r>
      <w:r w:rsidR="00136404">
        <w:rPr>
          <w:b/>
          <w:bCs/>
          <w:color w:val="000000" w:themeColor="text1"/>
          <w:szCs w:val="24"/>
        </w:rPr>
        <w:t>3</w:t>
      </w:r>
      <w:r w:rsidRPr="00967C82">
        <w:rPr>
          <w:b/>
          <w:color w:val="000000" w:themeColor="text1"/>
          <w:szCs w:val="24"/>
        </w:rPr>
        <w:t xml:space="preserve"> Corporate Operations team, Clinical Site Managers (CSM) </w:t>
      </w:r>
    </w:p>
    <w:p w14:paraId="4804EF24" w14:textId="77777777" w:rsidR="005D3FBC" w:rsidRDefault="00967C82" w:rsidP="00967C82">
      <w:pPr>
        <w:spacing w:after="200"/>
        <w:rPr>
          <w:sz w:val="22"/>
          <w:szCs w:val="22"/>
        </w:rPr>
      </w:pPr>
      <w:r w:rsidRPr="00967C82">
        <w:rPr>
          <w:sz w:val="22"/>
          <w:szCs w:val="22"/>
        </w:rPr>
        <w:t>Work with</w:t>
      </w:r>
      <w:r w:rsidR="00F649C6" w:rsidRPr="00967C82">
        <w:rPr>
          <w:sz w:val="22"/>
          <w:szCs w:val="22"/>
        </w:rPr>
        <w:t xml:space="preserve"> CSUs and other corporate teams, to support the operational implementation of Infection Prevention and Control Policies and guidelines with particular focus on supporting </w:t>
      </w:r>
      <w:r w:rsidRPr="00967C82">
        <w:rPr>
          <w:sz w:val="22"/>
          <w:szCs w:val="22"/>
        </w:rPr>
        <w:t>flow whilst</w:t>
      </w:r>
      <w:r w:rsidR="00F649C6" w:rsidRPr="00967C82">
        <w:rPr>
          <w:sz w:val="22"/>
          <w:szCs w:val="22"/>
        </w:rPr>
        <w:t xml:space="preserve"> maintaining patient safety </w:t>
      </w:r>
      <w:r w:rsidR="00E64655" w:rsidRPr="00967C82">
        <w:rPr>
          <w:sz w:val="22"/>
          <w:szCs w:val="22"/>
        </w:rPr>
        <w:t>and delivery</w:t>
      </w:r>
      <w:r w:rsidR="00F649C6" w:rsidRPr="00967C82">
        <w:rPr>
          <w:sz w:val="22"/>
          <w:szCs w:val="22"/>
        </w:rPr>
        <w:t xml:space="preserve"> of care to the patients of Leeds Teaching Hospitals </w:t>
      </w:r>
    </w:p>
    <w:p w14:paraId="00570C74" w14:textId="77777777" w:rsidR="00625DB2" w:rsidRDefault="00625DB2" w:rsidP="00967C82">
      <w:pPr>
        <w:spacing w:after="200"/>
        <w:rPr>
          <w:sz w:val="22"/>
          <w:szCs w:val="22"/>
        </w:rPr>
      </w:pPr>
    </w:p>
    <w:p w14:paraId="26855F7C" w14:textId="77777777" w:rsidR="00625DB2" w:rsidRPr="00967C82" w:rsidRDefault="00625DB2" w:rsidP="00967C82">
      <w:pPr>
        <w:spacing w:after="200"/>
        <w:rPr>
          <w:sz w:val="22"/>
          <w:szCs w:val="22"/>
        </w:rPr>
      </w:pPr>
    </w:p>
    <w:p w14:paraId="65ACEB5E" w14:textId="77777777" w:rsidR="003A3864" w:rsidRDefault="003261AF" w:rsidP="003A3864">
      <w:pPr>
        <w:pStyle w:val="Heading2"/>
        <w:spacing w:before="240"/>
        <w:rPr>
          <w:rFonts w:ascii="Arial" w:hAnsi="Arial" w:cs="Arial"/>
          <w:sz w:val="24"/>
          <w:szCs w:val="24"/>
          <w:u w:val="none"/>
        </w:rPr>
      </w:pPr>
      <w:bookmarkStart w:id="10" w:name="_Toc64283146"/>
      <w:r>
        <w:rPr>
          <w:rFonts w:ascii="Arial" w:hAnsi="Arial" w:cs="Arial"/>
          <w:sz w:val="24"/>
          <w:szCs w:val="24"/>
          <w:u w:val="none"/>
        </w:rPr>
        <w:lastRenderedPageBreak/>
        <w:t>4</w:t>
      </w:r>
      <w:r w:rsidR="003A3864" w:rsidRPr="00E63FA9">
        <w:rPr>
          <w:rFonts w:ascii="Arial" w:hAnsi="Arial" w:cs="Arial"/>
          <w:sz w:val="24"/>
          <w:szCs w:val="24"/>
          <w:u w:val="none"/>
        </w:rPr>
        <w:t>.</w:t>
      </w:r>
      <w:r w:rsidR="00C475AD">
        <w:rPr>
          <w:rFonts w:ascii="Arial" w:hAnsi="Arial" w:cs="Arial"/>
          <w:sz w:val="24"/>
          <w:szCs w:val="24"/>
          <w:u w:val="none"/>
        </w:rPr>
        <w:t>1</w:t>
      </w:r>
      <w:r w:rsidR="00136404">
        <w:rPr>
          <w:rFonts w:ascii="Arial" w:hAnsi="Arial" w:cs="Arial"/>
          <w:sz w:val="24"/>
          <w:szCs w:val="24"/>
          <w:u w:val="none"/>
        </w:rPr>
        <w:t>4</w:t>
      </w:r>
      <w:r w:rsidR="005D3FBC">
        <w:rPr>
          <w:rFonts w:ascii="Arial" w:hAnsi="Arial" w:cs="Arial"/>
          <w:sz w:val="24"/>
          <w:szCs w:val="24"/>
          <w:u w:val="none"/>
        </w:rPr>
        <w:t xml:space="preserve"> </w:t>
      </w:r>
      <w:r w:rsidR="003A3864" w:rsidRPr="00E63FA9">
        <w:rPr>
          <w:rFonts w:ascii="Arial" w:hAnsi="Arial" w:cs="Arial"/>
          <w:sz w:val="24"/>
          <w:szCs w:val="24"/>
          <w:u w:val="none"/>
        </w:rPr>
        <w:tab/>
        <w:t>Clinical Teams</w:t>
      </w:r>
      <w:bookmarkEnd w:id="10"/>
    </w:p>
    <w:p w14:paraId="35CE5CC6" w14:textId="77777777" w:rsidR="000B1763" w:rsidRPr="00644F22" w:rsidRDefault="000B1763" w:rsidP="00522685"/>
    <w:p w14:paraId="48C9F9C9" w14:textId="77777777" w:rsidR="003A3864" w:rsidRPr="00E859ED" w:rsidRDefault="003A3864" w:rsidP="003A3864">
      <w:pPr>
        <w:rPr>
          <w:sz w:val="22"/>
          <w:szCs w:val="18"/>
        </w:rPr>
      </w:pPr>
      <w:r w:rsidRPr="00E859ED">
        <w:rPr>
          <w:sz w:val="22"/>
          <w:szCs w:val="18"/>
        </w:rPr>
        <w:t xml:space="preserve">Clinical teams must receive and act upon infection control data and take action to reduce infections.  </w:t>
      </w:r>
    </w:p>
    <w:p w14:paraId="07807667" w14:textId="77777777" w:rsidR="007A2104" w:rsidRPr="00E859ED" w:rsidRDefault="007A2104" w:rsidP="003A3864">
      <w:pPr>
        <w:rPr>
          <w:sz w:val="22"/>
          <w:szCs w:val="18"/>
        </w:rPr>
      </w:pPr>
    </w:p>
    <w:p w14:paraId="664B13D9" w14:textId="77777777" w:rsidR="003A3864" w:rsidRPr="00E859ED" w:rsidRDefault="003A3864" w:rsidP="003A3864">
      <w:pPr>
        <w:rPr>
          <w:sz w:val="22"/>
          <w:szCs w:val="18"/>
        </w:rPr>
      </w:pPr>
      <w:r w:rsidRPr="00E859ED">
        <w:rPr>
          <w:sz w:val="22"/>
          <w:szCs w:val="18"/>
        </w:rPr>
        <w:t>Clinical teams must:</w:t>
      </w:r>
    </w:p>
    <w:p w14:paraId="69456224" w14:textId="77777777" w:rsidR="003A3864" w:rsidRPr="00E859ED" w:rsidRDefault="003A3864" w:rsidP="003A3864">
      <w:pPr>
        <w:numPr>
          <w:ilvl w:val="0"/>
          <w:numId w:val="11"/>
        </w:numPr>
        <w:spacing w:after="200"/>
        <w:rPr>
          <w:sz w:val="22"/>
          <w:szCs w:val="18"/>
        </w:rPr>
      </w:pPr>
      <w:r w:rsidRPr="00E859ED">
        <w:rPr>
          <w:sz w:val="22"/>
          <w:szCs w:val="18"/>
        </w:rPr>
        <w:t>Ensure that visits of infected patients</w:t>
      </w:r>
      <w:r w:rsidR="00E9091B" w:rsidRPr="00E859ED">
        <w:rPr>
          <w:sz w:val="22"/>
          <w:szCs w:val="18"/>
        </w:rPr>
        <w:t xml:space="preserve"> (or visitors)</w:t>
      </w:r>
      <w:r w:rsidRPr="00E859ED">
        <w:rPr>
          <w:sz w:val="22"/>
          <w:szCs w:val="18"/>
        </w:rPr>
        <w:t>, or patients suspected of having infection, to other departments are pre-planned and the risk is assessed and managed.</w:t>
      </w:r>
    </w:p>
    <w:p w14:paraId="25D2F804" w14:textId="77777777" w:rsidR="003A3864" w:rsidRPr="00E859ED" w:rsidRDefault="003A3864" w:rsidP="003A3864">
      <w:pPr>
        <w:numPr>
          <w:ilvl w:val="0"/>
          <w:numId w:val="11"/>
        </w:numPr>
        <w:spacing w:after="200"/>
        <w:rPr>
          <w:sz w:val="22"/>
          <w:szCs w:val="18"/>
        </w:rPr>
      </w:pPr>
      <w:r w:rsidRPr="00E859ED">
        <w:rPr>
          <w:sz w:val="22"/>
          <w:szCs w:val="18"/>
        </w:rPr>
        <w:t>Ensure that all LTHT Infection Prevention and Control policies and guidelines are communicated and implemented consistently across the clinical team.</w:t>
      </w:r>
    </w:p>
    <w:p w14:paraId="29816B60" w14:textId="77777777" w:rsidR="003A3864" w:rsidRPr="00E859ED" w:rsidRDefault="003A3864" w:rsidP="003A3864">
      <w:pPr>
        <w:numPr>
          <w:ilvl w:val="0"/>
          <w:numId w:val="11"/>
        </w:numPr>
        <w:spacing w:after="200"/>
        <w:rPr>
          <w:sz w:val="22"/>
          <w:szCs w:val="18"/>
        </w:rPr>
      </w:pPr>
      <w:r w:rsidRPr="00E859ED">
        <w:rPr>
          <w:sz w:val="22"/>
          <w:szCs w:val="18"/>
        </w:rPr>
        <w:t xml:space="preserve">Ensure that staff have the necessary training and competence in IPC to work safely. </w:t>
      </w:r>
    </w:p>
    <w:p w14:paraId="65010502" w14:textId="77777777" w:rsidR="003A3864" w:rsidRPr="00E859ED" w:rsidRDefault="003A3864" w:rsidP="003A3864">
      <w:pPr>
        <w:numPr>
          <w:ilvl w:val="0"/>
          <w:numId w:val="11"/>
        </w:numPr>
        <w:spacing w:after="200"/>
        <w:rPr>
          <w:sz w:val="22"/>
          <w:szCs w:val="18"/>
        </w:rPr>
      </w:pPr>
      <w:r w:rsidRPr="00E859ED">
        <w:rPr>
          <w:sz w:val="22"/>
          <w:szCs w:val="18"/>
        </w:rPr>
        <w:t>Monitor the uptake of training in infection prevention and control.</w:t>
      </w:r>
    </w:p>
    <w:p w14:paraId="732A1456" w14:textId="77777777" w:rsidR="003A3864" w:rsidRPr="00E859ED" w:rsidRDefault="003A3864" w:rsidP="003A3864">
      <w:pPr>
        <w:numPr>
          <w:ilvl w:val="0"/>
          <w:numId w:val="11"/>
        </w:numPr>
        <w:spacing w:after="200"/>
        <w:rPr>
          <w:b/>
          <w:sz w:val="22"/>
          <w:szCs w:val="18"/>
        </w:rPr>
      </w:pPr>
      <w:r w:rsidRPr="00E859ED">
        <w:rPr>
          <w:sz w:val="22"/>
          <w:szCs w:val="18"/>
        </w:rPr>
        <w:t>Ensure that equipment is clean, maintained and fit for purpose.  Equipment that is used for more than one patient will be decontaminated according to current guidelines following each and every use.</w:t>
      </w:r>
    </w:p>
    <w:p w14:paraId="305B15B0" w14:textId="77777777" w:rsidR="007A2104" w:rsidRPr="00E859ED" w:rsidRDefault="003A3864" w:rsidP="003A3864">
      <w:pPr>
        <w:numPr>
          <w:ilvl w:val="0"/>
          <w:numId w:val="11"/>
        </w:numPr>
        <w:spacing w:after="200"/>
        <w:rPr>
          <w:b/>
          <w:sz w:val="22"/>
          <w:szCs w:val="18"/>
        </w:rPr>
      </w:pPr>
      <w:r w:rsidRPr="00E859ED">
        <w:rPr>
          <w:sz w:val="22"/>
          <w:szCs w:val="18"/>
        </w:rPr>
        <w:t xml:space="preserve">Investigate all health care associated infections in line with Trust process and ensure learning is disseminated and implemented. </w:t>
      </w:r>
    </w:p>
    <w:p w14:paraId="315BD0E3" w14:textId="77777777" w:rsidR="007A2104" w:rsidRPr="00E859ED" w:rsidRDefault="00E9091B" w:rsidP="00684A8E">
      <w:pPr>
        <w:numPr>
          <w:ilvl w:val="0"/>
          <w:numId w:val="11"/>
        </w:numPr>
        <w:spacing w:after="200"/>
        <w:rPr>
          <w:sz w:val="22"/>
          <w:szCs w:val="22"/>
        </w:rPr>
      </w:pPr>
      <w:r w:rsidRPr="00E859ED">
        <w:rPr>
          <w:sz w:val="22"/>
          <w:szCs w:val="18"/>
        </w:rPr>
        <w:t>Identify unexpected increased infection rates in a clinical area, or specific patient group, and escalate to the triumvirate team for the CSU to further investigate.</w:t>
      </w:r>
    </w:p>
    <w:p w14:paraId="2A69670A" w14:textId="77777777" w:rsidR="00E9091B" w:rsidRPr="00E859ED" w:rsidRDefault="00E9091B" w:rsidP="00684A8E">
      <w:pPr>
        <w:numPr>
          <w:ilvl w:val="0"/>
          <w:numId w:val="11"/>
        </w:numPr>
        <w:spacing w:after="200"/>
        <w:rPr>
          <w:sz w:val="22"/>
          <w:szCs w:val="22"/>
        </w:rPr>
      </w:pPr>
      <w:r w:rsidRPr="00E859ED">
        <w:rPr>
          <w:sz w:val="22"/>
          <w:szCs w:val="22"/>
        </w:rPr>
        <w:t xml:space="preserve">Maintain a culture of learning, communication and reflection to use clinical experience within a specialty to improve patient safety with respect to HCAI </w:t>
      </w:r>
    </w:p>
    <w:p w14:paraId="28A2A48E" w14:textId="77777777" w:rsidR="003A3864" w:rsidRPr="00E859ED" w:rsidRDefault="00E9091B" w:rsidP="00E9091B">
      <w:pPr>
        <w:numPr>
          <w:ilvl w:val="0"/>
          <w:numId w:val="11"/>
        </w:numPr>
        <w:spacing w:after="200"/>
        <w:rPr>
          <w:b/>
          <w:sz w:val="22"/>
          <w:szCs w:val="22"/>
        </w:rPr>
      </w:pPr>
      <w:r w:rsidRPr="00E859ED">
        <w:rPr>
          <w:sz w:val="22"/>
          <w:szCs w:val="22"/>
        </w:rPr>
        <w:t>To communicate with patients about HCAI, including how to minimise risk of infection using good hygiene practices</w:t>
      </w:r>
      <w:r w:rsidR="003A3864" w:rsidRPr="00E859ED">
        <w:rPr>
          <w:sz w:val="22"/>
          <w:szCs w:val="22"/>
        </w:rPr>
        <w:t xml:space="preserve"> </w:t>
      </w:r>
    </w:p>
    <w:p w14:paraId="028F9EBA" w14:textId="77777777" w:rsidR="001121A6" w:rsidRPr="00E859ED" w:rsidRDefault="001121A6" w:rsidP="00E9091B">
      <w:pPr>
        <w:numPr>
          <w:ilvl w:val="0"/>
          <w:numId w:val="11"/>
        </w:numPr>
        <w:spacing w:after="200"/>
        <w:rPr>
          <w:b/>
          <w:sz w:val="22"/>
          <w:szCs w:val="22"/>
        </w:rPr>
      </w:pPr>
      <w:r>
        <w:rPr>
          <w:sz w:val="22"/>
          <w:szCs w:val="22"/>
        </w:rPr>
        <w:t xml:space="preserve">To be aware of the risk of infection from the built environment, including correct processes for IPC measures during building work, ventilation and identifying and mitigating risk of infection from water and </w:t>
      </w:r>
      <w:r w:rsidR="00C22859">
        <w:rPr>
          <w:sz w:val="22"/>
          <w:szCs w:val="22"/>
        </w:rPr>
        <w:t>wastewater</w:t>
      </w:r>
      <w:r>
        <w:rPr>
          <w:sz w:val="22"/>
          <w:szCs w:val="22"/>
        </w:rPr>
        <w:t xml:space="preserve"> with support from the trust water safety group</w:t>
      </w:r>
    </w:p>
    <w:p w14:paraId="5AC8EF74" w14:textId="77777777" w:rsidR="003A3864" w:rsidRDefault="003261AF" w:rsidP="003A3864">
      <w:pPr>
        <w:pStyle w:val="Heading2"/>
        <w:spacing w:before="240"/>
        <w:rPr>
          <w:rFonts w:ascii="Arial" w:hAnsi="Arial" w:cs="Arial"/>
          <w:sz w:val="24"/>
          <w:szCs w:val="24"/>
          <w:u w:val="none"/>
        </w:rPr>
      </w:pPr>
      <w:bookmarkStart w:id="11" w:name="_Toc64283147"/>
      <w:r>
        <w:rPr>
          <w:rFonts w:ascii="Arial" w:hAnsi="Arial" w:cs="Arial"/>
          <w:sz w:val="24"/>
          <w:szCs w:val="24"/>
          <w:u w:val="none"/>
        </w:rPr>
        <w:t>4</w:t>
      </w:r>
      <w:r w:rsidR="003A3864" w:rsidRPr="00E63FA9">
        <w:rPr>
          <w:rFonts w:ascii="Arial" w:hAnsi="Arial" w:cs="Arial"/>
          <w:sz w:val="24"/>
          <w:szCs w:val="24"/>
          <w:u w:val="none"/>
        </w:rPr>
        <w:t>.</w:t>
      </w:r>
      <w:r w:rsidR="00C475AD" w:rsidRPr="00E63FA9">
        <w:rPr>
          <w:rFonts w:ascii="Arial" w:hAnsi="Arial" w:cs="Arial"/>
          <w:sz w:val="24"/>
          <w:szCs w:val="24"/>
          <w:u w:val="none"/>
        </w:rPr>
        <w:t>1</w:t>
      </w:r>
      <w:r w:rsidR="00136404">
        <w:rPr>
          <w:rFonts w:ascii="Arial" w:hAnsi="Arial" w:cs="Arial"/>
          <w:sz w:val="24"/>
          <w:szCs w:val="24"/>
          <w:u w:val="none"/>
        </w:rPr>
        <w:t>5</w:t>
      </w:r>
      <w:r w:rsidR="003A3864" w:rsidRPr="00E63FA9">
        <w:rPr>
          <w:rFonts w:ascii="Arial" w:hAnsi="Arial" w:cs="Arial"/>
          <w:sz w:val="24"/>
          <w:szCs w:val="24"/>
          <w:u w:val="none"/>
        </w:rPr>
        <w:tab/>
        <w:t xml:space="preserve">Ward/Department Managers, Supervisors and </w:t>
      </w:r>
      <w:r w:rsidR="00F649C6">
        <w:rPr>
          <w:rFonts w:ascii="Arial" w:hAnsi="Arial" w:cs="Arial"/>
          <w:sz w:val="24"/>
          <w:szCs w:val="24"/>
          <w:u w:val="none"/>
        </w:rPr>
        <w:t xml:space="preserve">similar </w:t>
      </w:r>
      <w:bookmarkEnd w:id="11"/>
      <w:r w:rsidR="00F649C6">
        <w:rPr>
          <w:rFonts w:ascii="Arial" w:hAnsi="Arial" w:cs="Arial"/>
          <w:sz w:val="24"/>
          <w:szCs w:val="24"/>
          <w:u w:val="none"/>
        </w:rPr>
        <w:t xml:space="preserve">managers </w:t>
      </w:r>
    </w:p>
    <w:p w14:paraId="69972396" w14:textId="77777777" w:rsidR="000B1763" w:rsidRPr="00644F22" w:rsidRDefault="000B1763" w:rsidP="00522685"/>
    <w:p w14:paraId="663D184B" w14:textId="77777777" w:rsidR="003A3864" w:rsidRPr="00E859ED" w:rsidRDefault="003A3864" w:rsidP="003A3864">
      <w:pPr>
        <w:rPr>
          <w:sz w:val="22"/>
          <w:szCs w:val="18"/>
        </w:rPr>
      </w:pPr>
      <w:r w:rsidRPr="00E859ED">
        <w:rPr>
          <w:sz w:val="22"/>
          <w:szCs w:val="18"/>
        </w:rPr>
        <w:t xml:space="preserve">Ensure that high standards of IPC are applied to all aspects of care delivery and that hotspots and risks associated with infection and related clinical practices are identified </w:t>
      </w:r>
      <w:r w:rsidR="007B5EEE" w:rsidRPr="00E859ED">
        <w:rPr>
          <w:sz w:val="22"/>
          <w:szCs w:val="18"/>
        </w:rPr>
        <w:t>by using the HCAI  MDT review process .</w:t>
      </w:r>
    </w:p>
    <w:p w14:paraId="50D9D72D" w14:textId="77777777" w:rsidR="007A2104" w:rsidRPr="00E859ED" w:rsidRDefault="007A2104" w:rsidP="003A3864">
      <w:pPr>
        <w:rPr>
          <w:sz w:val="22"/>
          <w:szCs w:val="18"/>
        </w:rPr>
      </w:pPr>
    </w:p>
    <w:p w14:paraId="5020C2B2" w14:textId="77777777" w:rsidR="003A3864" w:rsidRPr="00E859ED" w:rsidRDefault="003A3864" w:rsidP="003A3864">
      <w:pPr>
        <w:rPr>
          <w:sz w:val="22"/>
          <w:szCs w:val="18"/>
        </w:rPr>
      </w:pPr>
      <w:r w:rsidRPr="00E859ED">
        <w:rPr>
          <w:sz w:val="22"/>
          <w:szCs w:val="18"/>
        </w:rPr>
        <w:t>Specific duties are to:</w:t>
      </w:r>
    </w:p>
    <w:p w14:paraId="13DA0F58" w14:textId="77777777" w:rsidR="003A3864" w:rsidRPr="00E859ED" w:rsidRDefault="003A3864" w:rsidP="003A3864">
      <w:pPr>
        <w:numPr>
          <w:ilvl w:val="0"/>
          <w:numId w:val="9"/>
        </w:numPr>
        <w:spacing w:after="200"/>
        <w:rPr>
          <w:sz w:val="22"/>
          <w:szCs w:val="18"/>
        </w:rPr>
      </w:pPr>
      <w:r w:rsidRPr="00E859ED">
        <w:rPr>
          <w:sz w:val="22"/>
          <w:szCs w:val="18"/>
        </w:rPr>
        <w:t>Ensure all staff within their areas are fully aware of all Infection Prevention and Control policies and guidelines relevant to their scope of work.</w:t>
      </w:r>
    </w:p>
    <w:p w14:paraId="2F8B4CEE" w14:textId="77777777" w:rsidR="003A3864" w:rsidRPr="00E859ED" w:rsidRDefault="003A3864" w:rsidP="003A3864">
      <w:pPr>
        <w:numPr>
          <w:ilvl w:val="0"/>
          <w:numId w:val="9"/>
        </w:numPr>
        <w:spacing w:after="200"/>
        <w:rPr>
          <w:sz w:val="22"/>
          <w:szCs w:val="18"/>
        </w:rPr>
      </w:pPr>
      <w:r w:rsidRPr="00E859ED">
        <w:rPr>
          <w:sz w:val="22"/>
          <w:szCs w:val="18"/>
        </w:rPr>
        <w:t>Undertake suitable and sufficient infection control risk assessments on an on-going basis, seeking the assistance of the Infection Prevention and Control Team if necessary.</w:t>
      </w:r>
    </w:p>
    <w:p w14:paraId="0E131583" w14:textId="77777777" w:rsidR="003A3864" w:rsidRPr="00E859ED" w:rsidRDefault="003A3864" w:rsidP="003A3864">
      <w:pPr>
        <w:numPr>
          <w:ilvl w:val="0"/>
          <w:numId w:val="9"/>
        </w:numPr>
        <w:spacing w:after="200"/>
        <w:rPr>
          <w:sz w:val="22"/>
          <w:szCs w:val="18"/>
        </w:rPr>
      </w:pPr>
      <w:r w:rsidRPr="00E859ED">
        <w:rPr>
          <w:sz w:val="22"/>
          <w:szCs w:val="18"/>
        </w:rPr>
        <w:t xml:space="preserve">Ensure that the individual infection control requirements of each patient are assessed on admission and recorded in a care plan. </w:t>
      </w:r>
    </w:p>
    <w:p w14:paraId="0D2D0E45" w14:textId="77777777" w:rsidR="003A3864" w:rsidRPr="00E859ED" w:rsidRDefault="003A3864" w:rsidP="003A3864">
      <w:pPr>
        <w:numPr>
          <w:ilvl w:val="0"/>
          <w:numId w:val="9"/>
        </w:numPr>
        <w:spacing w:after="200"/>
        <w:rPr>
          <w:sz w:val="22"/>
          <w:szCs w:val="18"/>
        </w:rPr>
      </w:pPr>
      <w:r w:rsidRPr="00E859ED">
        <w:rPr>
          <w:sz w:val="22"/>
          <w:szCs w:val="18"/>
        </w:rPr>
        <w:lastRenderedPageBreak/>
        <w:t>Maintain a culture where initial management and ongoing care of the patient and subsequent implications for existing patients must focus on preventing acquisition and spread of infection (unless clinically contraindicated).</w:t>
      </w:r>
    </w:p>
    <w:p w14:paraId="14893214" w14:textId="77777777" w:rsidR="003A3864" w:rsidRPr="00E859ED" w:rsidRDefault="003A3864" w:rsidP="003A3864">
      <w:pPr>
        <w:numPr>
          <w:ilvl w:val="0"/>
          <w:numId w:val="9"/>
        </w:numPr>
        <w:spacing w:before="200" w:after="200"/>
        <w:rPr>
          <w:sz w:val="22"/>
          <w:szCs w:val="18"/>
        </w:rPr>
      </w:pPr>
      <w:r w:rsidRPr="00E859ED">
        <w:rPr>
          <w:sz w:val="22"/>
          <w:szCs w:val="18"/>
        </w:rPr>
        <w:t>Ensure that all staff receives appropriate training at induction and refresher training as stipulated, and that they are fully supported in doing this.</w:t>
      </w:r>
    </w:p>
    <w:p w14:paraId="6E52E7E7" w14:textId="77777777" w:rsidR="003A3864" w:rsidRPr="00E859ED" w:rsidRDefault="003A3864" w:rsidP="003A3864">
      <w:pPr>
        <w:numPr>
          <w:ilvl w:val="0"/>
          <w:numId w:val="9"/>
        </w:numPr>
        <w:spacing w:after="200"/>
        <w:rPr>
          <w:sz w:val="22"/>
          <w:szCs w:val="18"/>
        </w:rPr>
      </w:pPr>
      <w:r w:rsidRPr="00E859ED">
        <w:rPr>
          <w:sz w:val="22"/>
          <w:szCs w:val="18"/>
        </w:rPr>
        <w:t>Ensure dedicated time is provided for the receipt of education and training in the prevention and control of infection.</w:t>
      </w:r>
    </w:p>
    <w:p w14:paraId="7D97836C" w14:textId="77777777" w:rsidR="003A3864" w:rsidRPr="00E859ED" w:rsidRDefault="003A3864" w:rsidP="003A3864">
      <w:pPr>
        <w:numPr>
          <w:ilvl w:val="0"/>
          <w:numId w:val="9"/>
        </w:numPr>
        <w:spacing w:after="200"/>
        <w:rPr>
          <w:sz w:val="22"/>
          <w:szCs w:val="18"/>
        </w:rPr>
      </w:pPr>
      <w:r w:rsidRPr="00E859ED">
        <w:rPr>
          <w:sz w:val="22"/>
          <w:szCs w:val="18"/>
        </w:rPr>
        <w:t>Ensure that staff are provided with adequate supervision and resources in order to develop their skills and competence in the prevention and management of HCAI.</w:t>
      </w:r>
    </w:p>
    <w:p w14:paraId="3899C5D7" w14:textId="77777777" w:rsidR="003A3864" w:rsidRPr="00E859ED" w:rsidRDefault="003A3864" w:rsidP="003A3864">
      <w:pPr>
        <w:numPr>
          <w:ilvl w:val="0"/>
          <w:numId w:val="9"/>
        </w:numPr>
        <w:spacing w:after="200"/>
        <w:rPr>
          <w:sz w:val="22"/>
          <w:szCs w:val="18"/>
        </w:rPr>
      </w:pPr>
      <w:r w:rsidRPr="00E859ED">
        <w:rPr>
          <w:sz w:val="22"/>
          <w:szCs w:val="18"/>
        </w:rPr>
        <w:t>Incorporate infection prevention and control into the appraisal framework.</w:t>
      </w:r>
    </w:p>
    <w:p w14:paraId="7E478977" w14:textId="77777777" w:rsidR="003A3864" w:rsidRPr="00E859ED" w:rsidRDefault="003A3864" w:rsidP="003A3864">
      <w:pPr>
        <w:numPr>
          <w:ilvl w:val="0"/>
          <w:numId w:val="9"/>
        </w:numPr>
        <w:spacing w:after="200"/>
        <w:rPr>
          <w:sz w:val="22"/>
          <w:szCs w:val="18"/>
        </w:rPr>
      </w:pPr>
      <w:r w:rsidRPr="00E859ED">
        <w:rPr>
          <w:sz w:val="22"/>
          <w:szCs w:val="18"/>
        </w:rPr>
        <w:t>Challenge any unsafe practice with regard to infection prevention and control and ensure that action plans are in place and implemented to address this.</w:t>
      </w:r>
    </w:p>
    <w:p w14:paraId="19719B8F" w14:textId="77777777" w:rsidR="001121A6" w:rsidRPr="00E859ED" w:rsidRDefault="003A3864" w:rsidP="003A3864">
      <w:pPr>
        <w:numPr>
          <w:ilvl w:val="0"/>
          <w:numId w:val="9"/>
        </w:numPr>
        <w:spacing w:after="200"/>
        <w:rPr>
          <w:sz w:val="22"/>
          <w:szCs w:val="18"/>
        </w:rPr>
      </w:pPr>
      <w:r w:rsidRPr="00E859ED">
        <w:rPr>
          <w:sz w:val="22"/>
          <w:szCs w:val="18"/>
        </w:rPr>
        <w:t>Inform the IPCT of any suspected outbreaks of infection or incidences with infection-related implications (e.g. sewage leaks, ward refurbishment, purchase of new patient care equipment).</w:t>
      </w:r>
    </w:p>
    <w:p w14:paraId="36698435" w14:textId="77777777" w:rsidR="003B741D" w:rsidRPr="008A325C" w:rsidRDefault="003A3864" w:rsidP="00E859ED">
      <w:pPr>
        <w:numPr>
          <w:ilvl w:val="0"/>
          <w:numId w:val="9"/>
        </w:numPr>
        <w:spacing w:after="200"/>
        <w:rPr>
          <w:lang w:val="en-US" w:eastAsia="en-GB"/>
        </w:rPr>
      </w:pPr>
      <w:r w:rsidRPr="00E859ED">
        <w:rPr>
          <w:sz w:val="22"/>
          <w:szCs w:val="22"/>
        </w:rPr>
        <w:t xml:space="preserve">Investigate all health care associated infections in line with Trust process and ensure learning is disseminated and implemented. </w:t>
      </w:r>
    </w:p>
    <w:p w14:paraId="0901B522" w14:textId="77777777" w:rsidR="001121A6" w:rsidRPr="003B741D" w:rsidRDefault="003A3864" w:rsidP="00E859ED">
      <w:pPr>
        <w:numPr>
          <w:ilvl w:val="0"/>
          <w:numId w:val="9"/>
        </w:numPr>
        <w:spacing w:after="200"/>
        <w:rPr>
          <w:lang w:val="en-US" w:eastAsia="en-GB"/>
        </w:rPr>
      </w:pPr>
      <w:r w:rsidRPr="00E859ED">
        <w:rPr>
          <w:sz w:val="22"/>
          <w:szCs w:val="22"/>
        </w:rPr>
        <w:t xml:space="preserve"> </w:t>
      </w:r>
      <w:r w:rsidR="00F4588E" w:rsidRPr="008A325C">
        <w:rPr>
          <w:rFonts w:eastAsia="Times New Roman"/>
          <w:sz w:val="22"/>
          <w:szCs w:val="22"/>
          <w:lang w:val="en-US" w:eastAsia="en-GB"/>
        </w:rPr>
        <w:t>Promote use of the sideroom E form to</w:t>
      </w:r>
      <w:r w:rsidR="00F14741" w:rsidRPr="008A325C">
        <w:rPr>
          <w:rFonts w:eastAsia="Times New Roman"/>
          <w:sz w:val="22"/>
          <w:szCs w:val="22"/>
          <w:lang w:val="en-US" w:eastAsia="en-GB"/>
        </w:rPr>
        <w:t xml:space="preserve"> </w:t>
      </w:r>
      <w:r w:rsidR="00BD1425" w:rsidRPr="008A325C">
        <w:rPr>
          <w:rFonts w:eastAsia="Times New Roman"/>
          <w:sz w:val="22"/>
          <w:szCs w:val="22"/>
          <w:lang w:val="en-US" w:eastAsia="en-GB"/>
        </w:rPr>
        <w:t xml:space="preserve">support safe patient placement and prevent cross transmission of </w:t>
      </w:r>
      <w:r w:rsidR="00C22859" w:rsidRPr="008A325C">
        <w:rPr>
          <w:rFonts w:eastAsia="Times New Roman"/>
          <w:sz w:val="22"/>
          <w:szCs w:val="22"/>
          <w:lang w:val="en-US" w:eastAsia="en-GB"/>
        </w:rPr>
        <w:t>infection.</w:t>
      </w:r>
    </w:p>
    <w:p w14:paraId="218E7E98" w14:textId="77777777" w:rsidR="003A3864" w:rsidRDefault="003261AF" w:rsidP="003A3864">
      <w:pPr>
        <w:pStyle w:val="Heading2"/>
        <w:spacing w:before="240"/>
        <w:rPr>
          <w:rFonts w:ascii="Arial" w:hAnsi="Arial" w:cs="Arial"/>
          <w:sz w:val="22"/>
          <w:szCs w:val="22"/>
          <w:u w:val="none"/>
        </w:rPr>
      </w:pPr>
      <w:bookmarkStart w:id="12" w:name="_Toc64283148"/>
      <w:r w:rsidRPr="00E859ED">
        <w:rPr>
          <w:rFonts w:ascii="Arial" w:hAnsi="Arial" w:cs="Arial"/>
          <w:sz w:val="22"/>
          <w:szCs w:val="22"/>
          <w:u w:val="none"/>
        </w:rPr>
        <w:t>4</w:t>
      </w:r>
      <w:r w:rsidR="003A3864" w:rsidRPr="00E859ED">
        <w:rPr>
          <w:rFonts w:ascii="Arial" w:hAnsi="Arial" w:cs="Arial"/>
          <w:sz w:val="22"/>
          <w:szCs w:val="22"/>
          <w:u w:val="none"/>
        </w:rPr>
        <w:t>.</w:t>
      </w:r>
      <w:r w:rsidR="00C475AD" w:rsidRPr="00E859ED">
        <w:rPr>
          <w:rFonts w:ascii="Arial" w:hAnsi="Arial" w:cs="Arial"/>
          <w:sz w:val="22"/>
          <w:szCs w:val="22"/>
          <w:u w:val="none"/>
        </w:rPr>
        <w:t>1</w:t>
      </w:r>
      <w:r w:rsidR="00136404">
        <w:rPr>
          <w:rFonts w:ascii="Arial" w:hAnsi="Arial" w:cs="Arial"/>
          <w:sz w:val="22"/>
          <w:szCs w:val="22"/>
          <w:u w:val="none"/>
        </w:rPr>
        <w:t>6</w:t>
      </w:r>
      <w:r w:rsidR="003A3864" w:rsidRPr="00E859ED">
        <w:rPr>
          <w:rFonts w:ascii="Arial" w:hAnsi="Arial" w:cs="Arial"/>
          <w:sz w:val="22"/>
          <w:szCs w:val="22"/>
          <w:u w:val="none"/>
        </w:rPr>
        <w:tab/>
        <w:t>Patient Placement Coordinators</w:t>
      </w:r>
      <w:bookmarkEnd w:id="12"/>
    </w:p>
    <w:p w14:paraId="729B4B42" w14:textId="77777777" w:rsidR="001121A6" w:rsidRPr="00B61302" w:rsidRDefault="001121A6" w:rsidP="00E859ED"/>
    <w:p w14:paraId="4AA30C1A" w14:textId="77777777" w:rsidR="003A3864" w:rsidRPr="00E859ED" w:rsidRDefault="003A3864" w:rsidP="00E9091B">
      <w:pPr>
        <w:pStyle w:val="ListParagraph"/>
        <w:numPr>
          <w:ilvl w:val="0"/>
          <w:numId w:val="11"/>
        </w:numPr>
        <w:rPr>
          <w:b/>
          <w:sz w:val="22"/>
          <w:szCs w:val="22"/>
        </w:rPr>
      </w:pPr>
      <w:r w:rsidRPr="00E859ED">
        <w:rPr>
          <w:sz w:val="22"/>
          <w:szCs w:val="22"/>
        </w:rPr>
        <w:t>Patient Placement Coordinators will ensure that infection prevention and control considerations are addressed prior to each patient being admitted.</w:t>
      </w:r>
    </w:p>
    <w:p w14:paraId="6C14154A" w14:textId="77777777" w:rsidR="00E9091B" w:rsidRPr="00E859ED" w:rsidRDefault="00E9091B" w:rsidP="00522685">
      <w:pPr>
        <w:pStyle w:val="ListParagraph"/>
        <w:numPr>
          <w:ilvl w:val="0"/>
          <w:numId w:val="11"/>
        </w:numPr>
        <w:rPr>
          <w:b/>
          <w:sz w:val="22"/>
          <w:szCs w:val="22"/>
        </w:rPr>
      </w:pPr>
      <w:r w:rsidRPr="00E859ED">
        <w:rPr>
          <w:sz w:val="22"/>
          <w:szCs w:val="22"/>
        </w:rPr>
        <w:t>If infection testing or screening is required prior to patient placement, this will be communicated to clinical teams and movement will be delayed until results are obtained.</w:t>
      </w:r>
    </w:p>
    <w:p w14:paraId="59819B89" w14:textId="77777777" w:rsidR="003A3864" w:rsidRDefault="003A3864" w:rsidP="00522685">
      <w:pPr>
        <w:pStyle w:val="ListParagraph"/>
        <w:numPr>
          <w:ilvl w:val="0"/>
          <w:numId w:val="11"/>
        </w:numPr>
      </w:pPr>
      <w:r w:rsidRPr="00E859ED">
        <w:rPr>
          <w:sz w:val="22"/>
          <w:szCs w:val="22"/>
        </w:rPr>
        <w:t>Patient Placement Coordinators will ensure that infection prevention and control considerations are addressed prior to each patient being transferred from/to any ward or department and that appropriate isolation requirements are met.</w:t>
      </w:r>
      <w:r w:rsidR="007A2104" w:rsidRPr="00E859ED">
        <w:rPr>
          <w:sz w:val="22"/>
          <w:szCs w:val="22"/>
        </w:rPr>
        <w:t xml:space="preserve"> This is to include an assessment of the vulnerability of individuals to infection, as well as the risk of onward transmission</w:t>
      </w:r>
      <w:r w:rsidR="007A2104">
        <w:t xml:space="preserve">. </w:t>
      </w:r>
    </w:p>
    <w:p w14:paraId="5C38C716" w14:textId="77777777" w:rsidR="00F4588E" w:rsidRPr="005F40AD" w:rsidRDefault="00F4588E" w:rsidP="00E859ED">
      <w:pPr>
        <w:pStyle w:val="ListParagraph"/>
        <w:ind w:left="1440"/>
      </w:pPr>
    </w:p>
    <w:p w14:paraId="093A7B8D" w14:textId="77777777" w:rsidR="003A3864" w:rsidRDefault="003261AF" w:rsidP="003A3864">
      <w:pPr>
        <w:pStyle w:val="Heading2"/>
        <w:spacing w:before="240"/>
        <w:rPr>
          <w:rFonts w:ascii="Arial" w:hAnsi="Arial" w:cs="Arial"/>
          <w:sz w:val="24"/>
          <w:szCs w:val="24"/>
          <w:u w:val="none"/>
        </w:rPr>
      </w:pPr>
      <w:bookmarkStart w:id="13" w:name="_Toc64283149"/>
      <w:r>
        <w:rPr>
          <w:rFonts w:ascii="Arial" w:hAnsi="Arial" w:cs="Arial"/>
          <w:sz w:val="24"/>
          <w:szCs w:val="24"/>
          <w:u w:val="none"/>
        </w:rPr>
        <w:t>4</w:t>
      </w:r>
      <w:r w:rsidR="003A3864" w:rsidRPr="006F160E">
        <w:rPr>
          <w:rFonts w:ascii="Arial" w:hAnsi="Arial" w:cs="Arial"/>
          <w:sz w:val="24"/>
          <w:szCs w:val="24"/>
          <w:u w:val="none"/>
        </w:rPr>
        <w:t>.</w:t>
      </w:r>
      <w:r w:rsidR="00C475AD" w:rsidRPr="006F160E">
        <w:rPr>
          <w:rFonts w:ascii="Arial" w:hAnsi="Arial" w:cs="Arial"/>
          <w:sz w:val="24"/>
          <w:szCs w:val="24"/>
          <w:u w:val="none"/>
        </w:rPr>
        <w:t>1</w:t>
      </w:r>
      <w:r w:rsidR="00136404">
        <w:rPr>
          <w:rFonts w:ascii="Arial" w:hAnsi="Arial" w:cs="Arial"/>
          <w:sz w:val="24"/>
          <w:szCs w:val="24"/>
          <w:u w:val="none"/>
        </w:rPr>
        <w:t>7</w:t>
      </w:r>
      <w:r w:rsidR="003A3864" w:rsidRPr="006F160E">
        <w:rPr>
          <w:rFonts w:ascii="Arial" w:hAnsi="Arial" w:cs="Arial"/>
          <w:sz w:val="24"/>
          <w:szCs w:val="24"/>
          <w:u w:val="none"/>
        </w:rPr>
        <w:tab/>
        <w:t>All Staff</w:t>
      </w:r>
      <w:bookmarkEnd w:id="13"/>
    </w:p>
    <w:p w14:paraId="23A27A8F" w14:textId="77777777" w:rsidR="007A2104" w:rsidRPr="00644F22" w:rsidRDefault="007A2104" w:rsidP="00522685"/>
    <w:p w14:paraId="2B448B7B" w14:textId="77777777" w:rsidR="003A3864" w:rsidRPr="00E859ED" w:rsidRDefault="003A3864" w:rsidP="003A3864">
      <w:pPr>
        <w:rPr>
          <w:sz w:val="22"/>
          <w:szCs w:val="18"/>
        </w:rPr>
      </w:pPr>
      <w:r w:rsidRPr="00E859ED">
        <w:rPr>
          <w:sz w:val="22"/>
          <w:szCs w:val="18"/>
        </w:rPr>
        <w:t xml:space="preserve">All staff, including volunteers, NHS professionals, agency staff, temporary staff, students and honorary staff, regardless of grade and occupation have a responsibility to abide by this policy at all times.  </w:t>
      </w:r>
    </w:p>
    <w:p w14:paraId="7FA7A4C1" w14:textId="77777777" w:rsidR="007A2104" w:rsidRPr="00E859ED" w:rsidRDefault="007A2104" w:rsidP="003A3864">
      <w:pPr>
        <w:rPr>
          <w:sz w:val="22"/>
          <w:szCs w:val="18"/>
        </w:rPr>
      </w:pPr>
    </w:p>
    <w:p w14:paraId="5D686D5B" w14:textId="77777777" w:rsidR="003A3864" w:rsidRPr="00E859ED" w:rsidRDefault="003A3864" w:rsidP="003A3864">
      <w:pPr>
        <w:rPr>
          <w:sz w:val="22"/>
          <w:szCs w:val="18"/>
        </w:rPr>
      </w:pPr>
      <w:r w:rsidRPr="00E859ED">
        <w:rPr>
          <w:sz w:val="22"/>
          <w:szCs w:val="18"/>
        </w:rPr>
        <w:t>All staff will:</w:t>
      </w:r>
    </w:p>
    <w:p w14:paraId="0A3835F8" w14:textId="77777777" w:rsidR="003A3864" w:rsidRPr="00E859ED" w:rsidRDefault="003A3864" w:rsidP="003A3864">
      <w:pPr>
        <w:numPr>
          <w:ilvl w:val="0"/>
          <w:numId w:val="10"/>
        </w:numPr>
        <w:spacing w:after="200"/>
        <w:rPr>
          <w:sz w:val="22"/>
          <w:szCs w:val="18"/>
        </w:rPr>
      </w:pPr>
      <w:r w:rsidRPr="00E859ED">
        <w:rPr>
          <w:sz w:val="22"/>
          <w:szCs w:val="18"/>
        </w:rPr>
        <w:t>Follow this policy and current guidance for evidence-based practice in the prevention and control of infection.</w:t>
      </w:r>
    </w:p>
    <w:p w14:paraId="297B32E0" w14:textId="77777777" w:rsidR="003A3864" w:rsidRPr="00E859ED" w:rsidRDefault="003A3864" w:rsidP="003A3864">
      <w:pPr>
        <w:numPr>
          <w:ilvl w:val="0"/>
          <w:numId w:val="10"/>
        </w:numPr>
        <w:spacing w:after="200"/>
        <w:rPr>
          <w:sz w:val="22"/>
          <w:szCs w:val="18"/>
        </w:rPr>
      </w:pPr>
      <w:r w:rsidRPr="00E859ED">
        <w:rPr>
          <w:sz w:val="22"/>
          <w:szCs w:val="18"/>
        </w:rPr>
        <w:t>Support colleagues in following best practice.</w:t>
      </w:r>
    </w:p>
    <w:p w14:paraId="765B95A9" w14:textId="77777777" w:rsidR="003A3864" w:rsidRPr="00E859ED" w:rsidRDefault="003A3864" w:rsidP="003A3864">
      <w:pPr>
        <w:numPr>
          <w:ilvl w:val="0"/>
          <w:numId w:val="10"/>
        </w:numPr>
        <w:spacing w:after="200"/>
        <w:rPr>
          <w:sz w:val="22"/>
          <w:szCs w:val="18"/>
        </w:rPr>
      </w:pPr>
      <w:r w:rsidRPr="00E859ED">
        <w:rPr>
          <w:sz w:val="22"/>
          <w:szCs w:val="18"/>
        </w:rPr>
        <w:lastRenderedPageBreak/>
        <w:t>Refer to the specific Infection Prevention and Control policies and guidelines relevant to their role and patient care responsibilities.</w:t>
      </w:r>
    </w:p>
    <w:p w14:paraId="32896FE1" w14:textId="77777777" w:rsidR="003A3864" w:rsidRPr="00E859ED" w:rsidRDefault="003A3864" w:rsidP="003A3864">
      <w:pPr>
        <w:numPr>
          <w:ilvl w:val="0"/>
          <w:numId w:val="10"/>
        </w:numPr>
        <w:spacing w:after="200"/>
        <w:rPr>
          <w:sz w:val="22"/>
          <w:szCs w:val="18"/>
        </w:rPr>
      </w:pPr>
      <w:r w:rsidRPr="00E859ED">
        <w:rPr>
          <w:sz w:val="22"/>
          <w:szCs w:val="18"/>
        </w:rPr>
        <w:t>Complete infection control training on induction, on an annual basis and as stipulated in the training needs analysis.</w:t>
      </w:r>
    </w:p>
    <w:p w14:paraId="5D95CB66" w14:textId="77777777" w:rsidR="003A3864" w:rsidRPr="00E859ED" w:rsidRDefault="003A3864" w:rsidP="003A3864">
      <w:pPr>
        <w:numPr>
          <w:ilvl w:val="0"/>
          <w:numId w:val="10"/>
        </w:numPr>
        <w:spacing w:before="200" w:after="200"/>
        <w:rPr>
          <w:sz w:val="22"/>
          <w:szCs w:val="18"/>
        </w:rPr>
      </w:pPr>
      <w:r w:rsidRPr="00E859ED">
        <w:rPr>
          <w:sz w:val="22"/>
          <w:szCs w:val="18"/>
        </w:rPr>
        <w:t>Report to their line manager any concerns regarding practice in infection prevention and control.</w:t>
      </w:r>
    </w:p>
    <w:p w14:paraId="56A8FEE4" w14:textId="77777777" w:rsidR="003A3864" w:rsidRPr="00E859ED" w:rsidRDefault="003A3864" w:rsidP="003A3864">
      <w:pPr>
        <w:numPr>
          <w:ilvl w:val="0"/>
          <w:numId w:val="10"/>
        </w:numPr>
        <w:spacing w:after="200"/>
        <w:rPr>
          <w:sz w:val="22"/>
          <w:szCs w:val="18"/>
        </w:rPr>
      </w:pPr>
      <w:r w:rsidRPr="00E859ED">
        <w:rPr>
          <w:sz w:val="22"/>
          <w:szCs w:val="18"/>
        </w:rPr>
        <w:t>Seek appropriate guidance/advice if unsure of action to take.</w:t>
      </w:r>
    </w:p>
    <w:p w14:paraId="2C474DD1" w14:textId="77777777" w:rsidR="003A3864" w:rsidRPr="005F40AD" w:rsidRDefault="003A3864" w:rsidP="003A3864">
      <w:pPr>
        <w:numPr>
          <w:ilvl w:val="0"/>
          <w:numId w:val="10"/>
        </w:numPr>
        <w:spacing w:after="200"/>
      </w:pPr>
      <w:r w:rsidRPr="00E859ED">
        <w:rPr>
          <w:sz w:val="22"/>
          <w:szCs w:val="18"/>
        </w:rPr>
        <w:t>Follow the incident reporting process</w:t>
      </w:r>
      <w:r>
        <w:t>.</w:t>
      </w:r>
    </w:p>
    <w:p w14:paraId="46810E5C" w14:textId="77777777" w:rsidR="003A3864" w:rsidRDefault="003A3864" w:rsidP="003A3864">
      <w:r w:rsidRPr="005F40AD">
        <w:rPr>
          <w:b/>
          <w:i/>
        </w:rPr>
        <w:t>Failure to follow this policy could result in the instigation of disciplinary procedures</w:t>
      </w:r>
      <w:r w:rsidRPr="005F40AD">
        <w:t>.</w:t>
      </w:r>
    </w:p>
    <w:p w14:paraId="6010CB8B" w14:textId="77777777" w:rsidR="00285B64" w:rsidRPr="00CF30E3" w:rsidRDefault="003261AF" w:rsidP="00285B64">
      <w:pPr>
        <w:spacing w:before="200" w:after="200"/>
        <w:rPr>
          <w:rFonts w:eastAsia="Times New Roman"/>
          <w:bCs/>
          <w:szCs w:val="24"/>
          <w:lang w:eastAsia="en-GB"/>
        </w:rPr>
      </w:pPr>
      <w:r>
        <w:rPr>
          <w:rFonts w:eastAsia="Times New Roman"/>
          <w:b/>
          <w:color w:val="3E80C4"/>
          <w:sz w:val="40"/>
          <w:szCs w:val="34"/>
          <w:lang w:val="en-US" w:eastAsia="en-GB"/>
        </w:rPr>
        <w:t>5.</w:t>
      </w:r>
      <w:r w:rsidR="00285B64" w:rsidRPr="00CF30E3">
        <w:rPr>
          <w:rFonts w:eastAsia="Times New Roman"/>
          <w:b/>
          <w:color w:val="3E80C4"/>
          <w:sz w:val="40"/>
          <w:szCs w:val="34"/>
          <w:lang w:val="en-US" w:eastAsia="en-GB"/>
        </w:rPr>
        <w:t xml:space="preserve"> Equality and Diversity Impact</w:t>
      </w:r>
    </w:p>
    <w:p w14:paraId="7F5D7174" w14:textId="77777777" w:rsidR="00653E9F" w:rsidRPr="00E859ED" w:rsidRDefault="00653E9F" w:rsidP="00653E9F">
      <w:pPr>
        <w:spacing w:before="200" w:after="200"/>
        <w:rPr>
          <w:rFonts w:eastAsia="Times New Roman"/>
          <w:bCs/>
          <w:sz w:val="22"/>
          <w:szCs w:val="22"/>
          <w:lang w:eastAsia="en-GB"/>
        </w:rPr>
      </w:pPr>
      <w:r w:rsidRPr="00E859ED">
        <w:rPr>
          <w:rFonts w:eastAsia="Times New Roman"/>
          <w:sz w:val="22"/>
          <w:szCs w:val="22"/>
          <w:lang w:eastAsia="en-GB"/>
        </w:rPr>
        <w:t xml:space="preserve">The Leeds Teaching Hospitals NHS Trust is committed to ensuring that, as far as is reasonably practicable, the way we provide services to the public and the way we treat our staff reflects their individual needs and does not discriminate against individuals or groups on any grounds.  </w:t>
      </w:r>
    </w:p>
    <w:p w14:paraId="3ED666CD" w14:textId="77777777" w:rsidR="002D5277" w:rsidRPr="00E859ED" w:rsidRDefault="00653E9F" w:rsidP="007A2104">
      <w:pPr>
        <w:spacing w:before="200" w:after="200"/>
        <w:rPr>
          <w:rFonts w:eastAsia="Times New Roman"/>
          <w:bCs/>
          <w:sz w:val="22"/>
          <w:szCs w:val="22"/>
          <w:lang w:eastAsia="en-GB"/>
        </w:rPr>
      </w:pPr>
      <w:r w:rsidRPr="00E859ED">
        <w:rPr>
          <w:rFonts w:eastAsia="Times New Roman"/>
          <w:sz w:val="22"/>
          <w:szCs w:val="22"/>
          <w:lang w:eastAsia="en-GB"/>
        </w:rPr>
        <w:t>The development of Trust policies must comply with equalities legislation which is to promote equality and eliminate unlawful discrimination.  Guidance on Equality Impact Assessment of Policies is available on the Trust intranet</w:t>
      </w:r>
    </w:p>
    <w:p w14:paraId="4232A375" w14:textId="77777777" w:rsidR="007B1052" w:rsidRPr="00E859ED" w:rsidRDefault="007B1052" w:rsidP="00285B64">
      <w:pPr>
        <w:spacing w:before="200" w:after="200"/>
        <w:rPr>
          <w:rFonts w:eastAsia="Times New Roman"/>
          <w:bCs/>
          <w:color w:val="000000" w:themeColor="text1"/>
          <w:sz w:val="22"/>
          <w:szCs w:val="22"/>
          <w:lang w:eastAsia="en-GB"/>
        </w:rPr>
      </w:pPr>
      <w:r w:rsidRPr="00E859ED">
        <w:rPr>
          <w:rFonts w:eastAsia="Times New Roman"/>
          <w:color w:val="000000" w:themeColor="text1"/>
          <w:sz w:val="22"/>
          <w:szCs w:val="22"/>
          <w:lang w:eastAsia="en-GB"/>
        </w:rPr>
        <w:t>This Policy has been assessed</w:t>
      </w:r>
      <w:r w:rsidR="00285B64" w:rsidRPr="00E859ED">
        <w:rPr>
          <w:rFonts w:eastAsia="Times New Roman"/>
          <w:color w:val="000000" w:themeColor="text1"/>
          <w:sz w:val="22"/>
          <w:szCs w:val="22"/>
          <w:lang w:eastAsia="en-GB"/>
        </w:rPr>
        <w:t xml:space="preserve"> for its impact upon equality. </w:t>
      </w:r>
      <w:r w:rsidRPr="00E859ED">
        <w:rPr>
          <w:rFonts w:eastAsia="Times New Roman"/>
          <w:color w:val="000000" w:themeColor="text1"/>
          <w:sz w:val="22"/>
          <w:szCs w:val="22"/>
          <w:lang w:eastAsia="en-GB"/>
        </w:rPr>
        <w:t>The Leeds Teaching Hospitals NHS Trust is committed to ensuring that the way that we provide services and the way we recruit and treat staff reflects individual needs, promotes equality and does not discriminate unfairly against any pa</w:t>
      </w:r>
      <w:r w:rsidR="00285B64" w:rsidRPr="00E859ED">
        <w:rPr>
          <w:rFonts w:eastAsia="Times New Roman"/>
          <w:color w:val="000000" w:themeColor="text1"/>
          <w:sz w:val="22"/>
          <w:szCs w:val="22"/>
          <w:lang w:eastAsia="en-GB"/>
        </w:rPr>
        <w:t>rticular individual or group.</w:t>
      </w:r>
    </w:p>
    <w:p w14:paraId="2BB5A94E" w14:textId="77777777" w:rsidR="00285B64" w:rsidRPr="00CF30E3" w:rsidRDefault="003261AF" w:rsidP="00285B64">
      <w:pPr>
        <w:spacing w:before="200" w:after="200"/>
        <w:rPr>
          <w:rFonts w:eastAsia="Times New Roman"/>
          <w:bCs/>
          <w:szCs w:val="24"/>
          <w:lang w:eastAsia="en-GB"/>
        </w:rPr>
      </w:pPr>
      <w:r>
        <w:rPr>
          <w:rFonts w:eastAsia="Times New Roman"/>
          <w:b/>
          <w:color w:val="3E80C4"/>
          <w:sz w:val="40"/>
          <w:szCs w:val="34"/>
          <w:lang w:val="en-US" w:eastAsia="en-GB"/>
        </w:rPr>
        <w:t>6</w:t>
      </w:r>
      <w:r w:rsidR="00285B64" w:rsidRPr="00CF30E3">
        <w:rPr>
          <w:rFonts w:eastAsia="Times New Roman"/>
          <w:b/>
          <w:color w:val="3E80C4"/>
          <w:sz w:val="40"/>
          <w:szCs w:val="34"/>
          <w:lang w:val="en-US" w:eastAsia="en-GB"/>
        </w:rPr>
        <w:t xml:space="preserve"> Consultation and review process</w:t>
      </w:r>
    </w:p>
    <w:p w14:paraId="732CDB17" w14:textId="77777777" w:rsidR="00653E9F" w:rsidRPr="00E859ED" w:rsidRDefault="00653E9F" w:rsidP="00653E9F">
      <w:pPr>
        <w:rPr>
          <w:sz w:val="22"/>
          <w:szCs w:val="18"/>
        </w:rPr>
      </w:pPr>
      <w:r w:rsidRPr="00E859ED">
        <w:rPr>
          <w:sz w:val="22"/>
          <w:szCs w:val="18"/>
        </w:rPr>
        <w:t>All staff, clinical and non-clinical, are invited to comment on this policy when due for review.</w:t>
      </w:r>
    </w:p>
    <w:p w14:paraId="1ADE05AE" w14:textId="77777777" w:rsidR="007A2104" w:rsidRPr="00E859ED" w:rsidRDefault="007A2104" w:rsidP="00653E9F">
      <w:pPr>
        <w:rPr>
          <w:sz w:val="22"/>
          <w:szCs w:val="18"/>
        </w:rPr>
      </w:pPr>
    </w:p>
    <w:p w14:paraId="528CB5A8" w14:textId="77777777" w:rsidR="00653E9F" w:rsidRPr="00E859ED" w:rsidRDefault="00653E9F" w:rsidP="00653E9F">
      <w:pPr>
        <w:rPr>
          <w:sz w:val="22"/>
          <w:szCs w:val="18"/>
        </w:rPr>
      </w:pPr>
      <w:r w:rsidRPr="00E859ED">
        <w:rPr>
          <w:sz w:val="22"/>
          <w:szCs w:val="18"/>
        </w:rPr>
        <w:t xml:space="preserve">Following initial discussion within the IPCT and HCAI </w:t>
      </w:r>
      <w:r w:rsidR="0048284B" w:rsidRPr="00E859ED">
        <w:rPr>
          <w:sz w:val="22"/>
          <w:szCs w:val="18"/>
        </w:rPr>
        <w:t>Group</w:t>
      </w:r>
      <w:r w:rsidRPr="00E859ED">
        <w:rPr>
          <w:sz w:val="22"/>
          <w:szCs w:val="18"/>
        </w:rPr>
        <w:t xml:space="preserve">, the IPCSC is the main forum through which consultation is achieved.  The policy is circulated to key stakeholders: members of the IPCSC, including representatives from each CSU, and to those named in the policy as having a particular role/responsibility.  Where those named form a considerable number of employees then representatives will be sought. </w:t>
      </w:r>
    </w:p>
    <w:p w14:paraId="7B21D8E0" w14:textId="77777777" w:rsidR="007A2104" w:rsidRPr="00E859ED" w:rsidRDefault="007A2104" w:rsidP="00653E9F">
      <w:pPr>
        <w:rPr>
          <w:sz w:val="22"/>
          <w:szCs w:val="18"/>
        </w:rPr>
      </w:pPr>
    </w:p>
    <w:p w14:paraId="5C8A0A53" w14:textId="77777777" w:rsidR="00053247" w:rsidRPr="005F40AD" w:rsidRDefault="00653E9F" w:rsidP="00653E9F">
      <w:r w:rsidRPr="00E859ED">
        <w:rPr>
          <w:sz w:val="22"/>
          <w:szCs w:val="18"/>
        </w:rPr>
        <w:t>A four-week period is allowed for comment.  Comments will then be discussed at the IPCSC meeting and changes made accordingly.  The policy is subsequently re-circulated for further comment.  The final version is submitted to the Trust Board for ratification.  Once ratified the policy is distributed, by email, to all clinical directors, senior line managers and heads of nursing who are requested to disseminate this to staff within their area of responsibility within a four-week period.  The policy is placed on the Trust intranet.  T</w:t>
      </w:r>
      <w:r w:rsidR="00053247" w:rsidRPr="00E859ED">
        <w:rPr>
          <w:sz w:val="22"/>
          <w:szCs w:val="18"/>
        </w:rPr>
        <w:t>he policy will be revised at least every two years or sooner in light of new developments.  Initial revision will be commenced by a member of the IPCT who will begin the process ten weeks prior to the review date in order that the policy remains current.  Changes will be made in line with new evidence, Government directives and national guidelines</w:t>
      </w:r>
      <w:r w:rsidR="00053247" w:rsidRPr="005F40AD">
        <w:t>.</w:t>
      </w:r>
    </w:p>
    <w:p w14:paraId="36BB0338" w14:textId="77777777" w:rsidR="007B1052" w:rsidRPr="00CF30E3" w:rsidRDefault="003261AF" w:rsidP="007B1052">
      <w:pPr>
        <w:spacing w:before="200" w:after="200"/>
        <w:rPr>
          <w:rFonts w:eastAsia="Times New Roman"/>
          <w:b/>
          <w:bCs/>
          <w:color w:val="3E80C4"/>
          <w:sz w:val="40"/>
          <w:szCs w:val="34"/>
          <w:lang w:val="en-US" w:eastAsia="en-GB"/>
        </w:rPr>
      </w:pPr>
      <w:r>
        <w:rPr>
          <w:rFonts w:eastAsia="Times New Roman"/>
          <w:b/>
          <w:color w:val="3E80C4"/>
          <w:sz w:val="40"/>
          <w:szCs w:val="34"/>
          <w:lang w:val="en-US" w:eastAsia="en-GB"/>
        </w:rPr>
        <w:t>7</w:t>
      </w:r>
      <w:r w:rsidR="007B1052" w:rsidRPr="00CF30E3">
        <w:rPr>
          <w:rFonts w:eastAsia="Times New Roman"/>
          <w:b/>
          <w:color w:val="3E80C4"/>
          <w:sz w:val="40"/>
          <w:szCs w:val="34"/>
          <w:lang w:val="en-US" w:eastAsia="en-GB"/>
        </w:rPr>
        <w:tab/>
      </w:r>
      <w:r w:rsidR="002D5277" w:rsidRPr="00CF30E3">
        <w:rPr>
          <w:rFonts w:eastAsia="Times New Roman"/>
          <w:b/>
          <w:color w:val="3E80C4"/>
          <w:sz w:val="40"/>
          <w:szCs w:val="34"/>
          <w:lang w:val="en-US" w:eastAsia="en-GB"/>
        </w:rPr>
        <w:t>Standards/ Key Performance Indicators</w:t>
      </w:r>
    </w:p>
    <w:p w14:paraId="3F7758DB" w14:textId="77777777" w:rsidR="00653E9F" w:rsidRPr="00E859ED" w:rsidRDefault="00653E9F" w:rsidP="00653E9F">
      <w:pPr>
        <w:rPr>
          <w:sz w:val="22"/>
          <w:szCs w:val="18"/>
        </w:rPr>
      </w:pPr>
      <w:r w:rsidRPr="00E859ED">
        <w:rPr>
          <w:sz w:val="22"/>
          <w:szCs w:val="18"/>
        </w:rPr>
        <w:lastRenderedPageBreak/>
        <w:t>The performance of LTHT against the policy will be monitored through key indicators including:</w:t>
      </w:r>
    </w:p>
    <w:p w14:paraId="60989768" w14:textId="77777777" w:rsidR="00653E9F" w:rsidRPr="00E859ED" w:rsidRDefault="00653E9F" w:rsidP="00653E9F">
      <w:pPr>
        <w:numPr>
          <w:ilvl w:val="1"/>
          <w:numId w:val="14"/>
        </w:numPr>
        <w:tabs>
          <w:tab w:val="clear" w:pos="2167"/>
        </w:tabs>
        <w:spacing w:before="200" w:after="200"/>
        <w:ind w:left="1418" w:hanging="709"/>
        <w:rPr>
          <w:sz w:val="22"/>
          <w:szCs w:val="18"/>
        </w:rPr>
      </w:pPr>
      <w:r w:rsidRPr="00E859ED">
        <w:rPr>
          <w:sz w:val="22"/>
          <w:szCs w:val="18"/>
        </w:rPr>
        <w:t>MRSA bacteraemia rates and reduction in numbers in line with trajectory and Government targets</w:t>
      </w:r>
    </w:p>
    <w:p w14:paraId="58F5666B" w14:textId="77777777" w:rsidR="00653E9F" w:rsidRPr="00E859ED" w:rsidRDefault="00653E9F" w:rsidP="00653E9F">
      <w:pPr>
        <w:numPr>
          <w:ilvl w:val="1"/>
          <w:numId w:val="14"/>
        </w:numPr>
        <w:tabs>
          <w:tab w:val="clear" w:pos="2167"/>
        </w:tabs>
        <w:spacing w:after="200"/>
        <w:ind w:left="1418" w:hanging="709"/>
        <w:rPr>
          <w:i/>
          <w:sz w:val="22"/>
          <w:szCs w:val="18"/>
        </w:rPr>
      </w:pPr>
      <w:r w:rsidRPr="00E859ED">
        <w:rPr>
          <w:i/>
          <w:sz w:val="22"/>
          <w:szCs w:val="18"/>
        </w:rPr>
        <w:t>Clostridium difficile</w:t>
      </w:r>
      <w:r w:rsidRPr="00E859ED">
        <w:rPr>
          <w:sz w:val="22"/>
          <w:szCs w:val="18"/>
        </w:rPr>
        <w:t xml:space="preserve"> infection rates and reduction in numbers in line with trajectory and Government targets.</w:t>
      </w:r>
    </w:p>
    <w:p w14:paraId="5966F774" w14:textId="77777777" w:rsidR="00653E9F" w:rsidRPr="00E859ED" w:rsidRDefault="00653E9F" w:rsidP="00653E9F">
      <w:pPr>
        <w:numPr>
          <w:ilvl w:val="1"/>
          <w:numId w:val="14"/>
        </w:numPr>
        <w:tabs>
          <w:tab w:val="clear" w:pos="2167"/>
        </w:tabs>
        <w:spacing w:after="200"/>
        <w:ind w:left="1418" w:hanging="709"/>
        <w:rPr>
          <w:sz w:val="22"/>
          <w:szCs w:val="22"/>
        </w:rPr>
      </w:pPr>
      <w:r w:rsidRPr="00E859ED">
        <w:rPr>
          <w:sz w:val="22"/>
          <w:szCs w:val="22"/>
        </w:rPr>
        <w:t xml:space="preserve">GNBSI rates reduction in number in line with </w:t>
      </w:r>
      <w:r w:rsidR="0048284B" w:rsidRPr="00E859ED">
        <w:rPr>
          <w:sz w:val="22"/>
          <w:szCs w:val="22"/>
        </w:rPr>
        <w:t>local</w:t>
      </w:r>
      <w:r w:rsidRPr="00E859ED">
        <w:rPr>
          <w:sz w:val="22"/>
          <w:szCs w:val="22"/>
        </w:rPr>
        <w:t xml:space="preserve"> and national </w:t>
      </w:r>
      <w:r w:rsidR="00E9091B" w:rsidRPr="00E859ED">
        <w:rPr>
          <w:sz w:val="22"/>
          <w:szCs w:val="22"/>
        </w:rPr>
        <w:t>thresholds</w:t>
      </w:r>
      <w:r w:rsidRPr="00E859ED">
        <w:rPr>
          <w:sz w:val="22"/>
          <w:szCs w:val="22"/>
        </w:rPr>
        <w:t>.</w:t>
      </w:r>
    </w:p>
    <w:p w14:paraId="5E2FFC26" w14:textId="77777777" w:rsidR="00653E9F" w:rsidRPr="00E859ED" w:rsidRDefault="00653E9F" w:rsidP="00653E9F">
      <w:pPr>
        <w:numPr>
          <w:ilvl w:val="1"/>
          <w:numId w:val="14"/>
        </w:numPr>
        <w:tabs>
          <w:tab w:val="clear" w:pos="2167"/>
        </w:tabs>
        <w:spacing w:after="200"/>
        <w:ind w:left="1418" w:hanging="709"/>
        <w:rPr>
          <w:sz w:val="22"/>
          <w:szCs w:val="22"/>
        </w:rPr>
      </w:pPr>
      <w:r w:rsidRPr="00E859ED">
        <w:rPr>
          <w:sz w:val="22"/>
          <w:szCs w:val="22"/>
        </w:rPr>
        <w:t>Assessment against the Health and Social Care Act 2008 Code of Practice of the Prevention and Control of Infections</w:t>
      </w:r>
      <w:r w:rsidR="00991411">
        <w:rPr>
          <w:sz w:val="22"/>
          <w:szCs w:val="22"/>
        </w:rPr>
        <w:t>( updated 2022)</w:t>
      </w:r>
      <w:r w:rsidRPr="00E859ED">
        <w:rPr>
          <w:sz w:val="22"/>
          <w:szCs w:val="22"/>
        </w:rPr>
        <w:t xml:space="preserve"> and related guidance on a quarterly basis. </w:t>
      </w:r>
    </w:p>
    <w:p w14:paraId="71E923EE" w14:textId="77777777" w:rsidR="00E9091B" w:rsidRPr="00E859ED" w:rsidRDefault="00653E9F" w:rsidP="00E9091B">
      <w:pPr>
        <w:numPr>
          <w:ilvl w:val="1"/>
          <w:numId w:val="14"/>
        </w:numPr>
        <w:tabs>
          <w:tab w:val="clear" w:pos="2167"/>
        </w:tabs>
        <w:spacing w:after="200"/>
        <w:ind w:left="1418" w:hanging="709"/>
        <w:rPr>
          <w:sz w:val="22"/>
          <w:szCs w:val="22"/>
        </w:rPr>
      </w:pPr>
      <w:r w:rsidRPr="00E859ED">
        <w:rPr>
          <w:sz w:val="22"/>
          <w:szCs w:val="22"/>
        </w:rPr>
        <w:t>95% or above mandatory training achieved in IPC.</w:t>
      </w:r>
    </w:p>
    <w:p w14:paraId="18145168" w14:textId="77777777" w:rsidR="00E9091B" w:rsidRPr="00E859ED" w:rsidRDefault="00E9091B" w:rsidP="00522685">
      <w:pPr>
        <w:numPr>
          <w:ilvl w:val="1"/>
          <w:numId w:val="14"/>
        </w:numPr>
        <w:tabs>
          <w:tab w:val="clear" w:pos="2167"/>
        </w:tabs>
        <w:spacing w:after="200"/>
        <w:ind w:left="1418" w:hanging="709"/>
        <w:rPr>
          <w:sz w:val="22"/>
          <w:szCs w:val="22"/>
        </w:rPr>
      </w:pPr>
      <w:r w:rsidRPr="00E859ED">
        <w:rPr>
          <w:sz w:val="22"/>
          <w:szCs w:val="22"/>
        </w:rPr>
        <w:t>Compliance with the National Standards of Healthcare Cleanliness 2021</w:t>
      </w:r>
      <w:r w:rsidR="00BA06DF">
        <w:rPr>
          <w:sz w:val="22"/>
          <w:szCs w:val="22"/>
        </w:rPr>
        <w:t xml:space="preserve"> updated 2025</w:t>
      </w:r>
      <w:r w:rsidRPr="00E859ED">
        <w:rPr>
          <w:sz w:val="22"/>
          <w:szCs w:val="22"/>
        </w:rPr>
        <w:tab/>
      </w:r>
    </w:p>
    <w:p w14:paraId="5E83C4A4" w14:textId="77777777" w:rsidR="007B1052" w:rsidRPr="00CF30E3" w:rsidRDefault="007B1052" w:rsidP="007B1052">
      <w:pPr>
        <w:spacing w:before="200" w:after="200"/>
        <w:ind w:left="720"/>
        <w:rPr>
          <w:rFonts w:eastAsia="Times New Roman"/>
          <w:bCs/>
          <w:szCs w:val="24"/>
          <w:lang w:eastAsia="en-GB"/>
        </w:rPr>
        <w:sectPr w:rsidR="007B1052" w:rsidRPr="00CF30E3" w:rsidSect="00B41F7E">
          <w:footerReference w:type="default" r:id="rId12"/>
          <w:pgSz w:w="11906" w:h="16838" w:code="9"/>
          <w:pgMar w:top="1440" w:right="1440" w:bottom="1440" w:left="1440" w:header="357" w:footer="709" w:gutter="0"/>
          <w:cols w:space="708"/>
          <w:docGrid w:linePitch="360"/>
        </w:sectPr>
      </w:pPr>
    </w:p>
    <w:p w14:paraId="001BBAD2" w14:textId="77777777" w:rsidR="007B1052" w:rsidRPr="00CF30E3" w:rsidRDefault="003261AF" w:rsidP="007B1052">
      <w:pPr>
        <w:spacing w:before="200" w:after="200"/>
        <w:rPr>
          <w:rFonts w:eastAsia="Times New Roman"/>
          <w:b/>
          <w:bCs/>
          <w:color w:val="3E80C4"/>
          <w:sz w:val="40"/>
          <w:szCs w:val="34"/>
          <w:lang w:val="en-US" w:eastAsia="en-GB"/>
        </w:rPr>
      </w:pPr>
      <w:r>
        <w:rPr>
          <w:rFonts w:eastAsia="Times New Roman"/>
          <w:b/>
          <w:color w:val="3E80C4"/>
          <w:sz w:val="40"/>
          <w:szCs w:val="34"/>
          <w:lang w:val="en-US" w:eastAsia="en-GB"/>
        </w:rPr>
        <w:lastRenderedPageBreak/>
        <w:t>8</w:t>
      </w:r>
      <w:r w:rsidR="007B1052" w:rsidRPr="00CF30E3">
        <w:rPr>
          <w:rFonts w:eastAsia="Times New Roman"/>
          <w:b/>
          <w:color w:val="3E80C4"/>
          <w:sz w:val="40"/>
          <w:szCs w:val="34"/>
          <w:lang w:val="en-US" w:eastAsia="en-GB"/>
        </w:rPr>
        <w:tab/>
      </w:r>
      <w:r w:rsidR="002D5277" w:rsidRPr="003261AF">
        <w:rPr>
          <w:rFonts w:eastAsia="Times New Roman"/>
          <w:b/>
          <w:color w:val="000000" w:themeColor="text1"/>
          <w:sz w:val="40"/>
          <w:szCs w:val="34"/>
          <w:lang w:val="en-US" w:eastAsia="en-GB"/>
        </w:rPr>
        <w:t>Monitoring Compliance and Effectiveness</w:t>
      </w:r>
      <w:r w:rsidR="007B1052" w:rsidRPr="003261AF">
        <w:rPr>
          <w:rFonts w:eastAsia="Times New Roman"/>
          <w:b/>
          <w:color w:val="000000" w:themeColor="text1"/>
          <w:sz w:val="40"/>
          <w:szCs w:val="34"/>
          <w:lang w:val="en-US" w:eastAsia="en-GB"/>
        </w:rPr>
        <w:t xml:space="preserve"> </w:t>
      </w:r>
    </w:p>
    <w:p w14:paraId="42DACBB4" w14:textId="77777777" w:rsidR="007B1052" w:rsidRPr="00CF30E3" w:rsidRDefault="007B1052" w:rsidP="007B1052">
      <w:pPr>
        <w:spacing w:before="200" w:after="200"/>
        <w:ind w:left="720"/>
        <w:rPr>
          <w:rFonts w:eastAsia="Times New Roman"/>
          <w:bCs/>
          <w:szCs w:val="24"/>
          <w:lang w:eastAsia="en-GB"/>
        </w:rPr>
      </w:pPr>
      <w:r w:rsidRPr="00CF30E3">
        <w:rPr>
          <w:rFonts w:eastAsia="Times New Roman"/>
          <w:szCs w:val="24"/>
          <w:lang w:eastAsia="en-GB"/>
        </w:rPr>
        <w:t xml:space="preserve">This section, using the template below, must include details of how compliance and effectiveness of implementation of the policy will be monitored.  This will include monitoring for any adverse impact on different groups.  This should include the role of the Policy Lead and overseeing governance group in reviewing assurance.  </w:t>
      </w:r>
    </w:p>
    <w:p w14:paraId="5EC581D2" w14:textId="77777777" w:rsidR="007B1052" w:rsidRPr="00CF30E3" w:rsidRDefault="007B1052" w:rsidP="007B1052">
      <w:pPr>
        <w:spacing w:before="200" w:after="200"/>
        <w:ind w:left="720"/>
        <w:rPr>
          <w:rFonts w:eastAsia="Times New Roman"/>
          <w:bCs/>
          <w:szCs w:val="24"/>
          <w:lang w:eastAsia="en-GB"/>
        </w:rPr>
      </w:pPr>
      <w:r w:rsidRPr="00CF30E3">
        <w:rPr>
          <w:rFonts w:eastAsia="Times New Roman"/>
          <w:szCs w:val="24"/>
          <w:lang w:eastAsia="en-GB"/>
        </w:rPr>
        <w:t xml:space="preserve">Where an audit is required in order to measure compliance or effectiveness, the audit should be </w:t>
      </w:r>
      <w:r w:rsidR="00CE1017" w:rsidRPr="00CF30E3">
        <w:rPr>
          <w:rFonts w:eastAsia="Times New Roman"/>
          <w:szCs w:val="24"/>
          <w:lang w:eastAsia="en-GB"/>
        </w:rPr>
        <w:t>considered for inclusion</w:t>
      </w:r>
      <w:r w:rsidRPr="00CF30E3">
        <w:rPr>
          <w:rFonts w:eastAsia="Times New Roman"/>
          <w:szCs w:val="24"/>
          <w:lang w:eastAsia="en-GB"/>
        </w:rPr>
        <w:t xml:space="preserve"> in the Trust Annual Clinical Audi</w:t>
      </w:r>
      <w:r w:rsidR="00CE1017" w:rsidRPr="00CF30E3">
        <w:rPr>
          <w:rFonts w:eastAsia="Times New Roman"/>
          <w:szCs w:val="24"/>
          <w:lang w:eastAsia="en-GB"/>
        </w:rPr>
        <w:t>t Programme.</w:t>
      </w:r>
    </w:p>
    <w:p w14:paraId="5A123DD0" w14:textId="77777777" w:rsidR="007B1052" w:rsidRPr="00CF30E3" w:rsidRDefault="007B1052" w:rsidP="007B1052">
      <w:pPr>
        <w:spacing w:before="200" w:after="200"/>
        <w:ind w:left="720"/>
        <w:outlineLvl w:val="0"/>
        <w:rPr>
          <w:rFonts w:eastAsia="Times New Roman"/>
          <w:b/>
          <w:bCs/>
          <w:sz w:val="22"/>
          <w:szCs w:val="24"/>
          <w:lang w:eastAsia="en-GB"/>
        </w:rPr>
      </w:pPr>
      <w:r w:rsidRPr="00CF30E3">
        <w:rPr>
          <w:rFonts w:eastAsia="Times New Roman"/>
          <w:b/>
          <w:sz w:val="22"/>
          <w:szCs w:val="24"/>
          <w:lang w:eastAsia="en-GB"/>
        </w:rPr>
        <w:t xml:space="preserve">Appendix A  </w:t>
      </w:r>
    </w:p>
    <w:p w14:paraId="08DA3D51" w14:textId="77777777" w:rsidR="007B1052" w:rsidRPr="00CF30E3" w:rsidRDefault="007B1052" w:rsidP="007B1052">
      <w:pPr>
        <w:spacing w:before="200" w:after="200"/>
        <w:ind w:left="720"/>
        <w:rPr>
          <w:rFonts w:eastAsia="Times New Roman"/>
          <w:bCs/>
          <w:color w:val="3366F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1"/>
        <w:gridCol w:w="2079"/>
        <w:gridCol w:w="2071"/>
        <w:gridCol w:w="1780"/>
        <w:gridCol w:w="1770"/>
        <w:gridCol w:w="2738"/>
        <w:gridCol w:w="2749"/>
      </w:tblGrid>
      <w:tr w:rsidR="00CA5629" w:rsidRPr="00DF77BB" w14:paraId="2A0967DB" w14:textId="77777777" w:rsidTr="00684A8E">
        <w:tc>
          <w:tcPr>
            <w:tcW w:w="1627" w:type="dxa"/>
          </w:tcPr>
          <w:p w14:paraId="376EFD5B" w14:textId="77777777" w:rsidR="00CA5629" w:rsidRPr="00DF77BB" w:rsidRDefault="00CA5629" w:rsidP="00684A8E">
            <w:pPr>
              <w:rPr>
                <w:rFonts w:eastAsia="Times New Roman"/>
                <w:b/>
                <w:sz w:val="20"/>
              </w:rPr>
            </w:pPr>
            <w:r w:rsidRPr="00DF77BB">
              <w:rPr>
                <w:rFonts w:eastAsia="Times New Roman"/>
                <w:b/>
                <w:sz w:val="20"/>
              </w:rPr>
              <w:t>Policy element to be monitored</w:t>
            </w:r>
          </w:p>
        </w:tc>
        <w:tc>
          <w:tcPr>
            <w:tcW w:w="2079" w:type="dxa"/>
          </w:tcPr>
          <w:p w14:paraId="37FA56FD" w14:textId="77777777" w:rsidR="00CA5629" w:rsidRPr="00DF77BB" w:rsidRDefault="00CA5629" w:rsidP="00684A8E">
            <w:pPr>
              <w:rPr>
                <w:rFonts w:eastAsia="Times New Roman"/>
                <w:b/>
                <w:sz w:val="20"/>
              </w:rPr>
            </w:pPr>
            <w:r w:rsidRPr="00DF77BB">
              <w:rPr>
                <w:rFonts w:eastAsia="Times New Roman"/>
                <w:b/>
                <w:sz w:val="20"/>
              </w:rPr>
              <w:t>Standards/</w:t>
            </w:r>
          </w:p>
          <w:p w14:paraId="19E7F3F7" w14:textId="77777777" w:rsidR="00CA5629" w:rsidRPr="00DF77BB" w:rsidRDefault="00CA5629" w:rsidP="00684A8E">
            <w:pPr>
              <w:rPr>
                <w:rFonts w:eastAsia="Times New Roman"/>
                <w:b/>
                <w:sz w:val="20"/>
              </w:rPr>
            </w:pPr>
            <w:r w:rsidRPr="00DF77BB">
              <w:rPr>
                <w:rFonts w:eastAsia="Times New Roman"/>
                <w:b/>
                <w:sz w:val="20"/>
              </w:rPr>
              <w:t>performance indicators</w:t>
            </w:r>
          </w:p>
        </w:tc>
        <w:tc>
          <w:tcPr>
            <w:tcW w:w="1777" w:type="dxa"/>
          </w:tcPr>
          <w:p w14:paraId="72870C37" w14:textId="77777777" w:rsidR="00CA5629" w:rsidRPr="00DF77BB" w:rsidRDefault="00CA5629" w:rsidP="00684A8E">
            <w:pPr>
              <w:rPr>
                <w:rFonts w:eastAsia="Times New Roman"/>
                <w:b/>
                <w:sz w:val="20"/>
              </w:rPr>
            </w:pPr>
            <w:r w:rsidRPr="00DF77BB">
              <w:rPr>
                <w:rFonts w:eastAsia="Times New Roman"/>
                <w:b/>
                <w:sz w:val="20"/>
              </w:rPr>
              <w:t>Process for monitoring</w:t>
            </w:r>
          </w:p>
        </w:tc>
        <w:tc>
          <w:tcPr>
            <w:tcW w:w="1780" w:type="dxa"/>
          </w:tcPr>
          <w:p w14:paraId="41EC90BE" w14:textId="77777777" w:rsidR="00CA5629" w:rsidRPr="00DF77BB" w:rsidRDefault="00CA5629" w:rsidP="00684A8E">
            <w:pPr>
              <w:rPr>
                <w:rFonts w:eastAsia="Times New Roman"/>
                <w:b/>
                <w:sz w:val="20"/>
              </w:rPr>
            </w:pPr>
            <w:r w:rsidRPr="00DF77BB">
              <w:rPr>
                <w:rFonts w:eastAsia="Times New Roman"/>
                <w:b/>
                <w:sz w:val="20"/>
              </w:rPr>
              <w:t>Individual and/or group responsible for monitoring</w:t>
            </w:r>
          </w:p>
        </w:tc>
        <w:tc>
          <w:tcPr>
            <w:tcW w:w="1770" w:type="dxa"/>
          </w:tcPr>
          <w:p w14:paraId="2B799F1E" w14:textId="77777777" w:rsidR="00CA5629" w:rsidRPr="00DF77BB" w:rsidRDefault="00CA5629" w:rsidP="00684A8E">
            <w:pPr>
              <w:rPr>
                <w:rFonts w:eastAsia="Times New Roman"/>
                <w:b/>
                <w:sz w:val="20"/>
              </w:rPr>
            </w:pPr>
            <w:r w:rsidRPr="00DF77BB">
              <w:rPr>
                <w:rFonts w:eastAsia="Times New Roman"/>
                <w:b/>
                <w:sz w:val="20"/>
              </w:rPr>
              <w:t>Frequency of monitoring</w:t>
            </w:r>
          </w:p>
        </w:tc>
        <w:tc>
          <w:tcPr>
            <w:tcW w:w="2166" w:type="dxa"/>
          </w:tcPr>
          <w:p w14:paraId="73DA106C" w14:textId="77777777" w:rsidR="00CA5629" w:rsidRPr="00D731D2" w:rsidRDefault="00CA5629" w:rsidP="00684A8E">
            <w:pPr>
              <w:rPr>
                <w:rFonts w:eastAsia="Times New Roman"/>
                <w:b/>
                <w:sz w:val="20"/>
              </w:rPr>
            </w:pPr>
            <w:r w:rsidRPr="00D731D2">
              <w:rPr>
                <w:rFonts w:eastAsia="Times New Roman"/>
                <w:b/>
                <w:sz w:val="20"/>
              </w:rPr>
              <w:t>Responsible individual or group for development of action plan</w:t>
            </w:r>
          </w:p>
        </w:tc>
        <w:tc>
          <w:tcPr>
            <w:tcW w:w="2749" w:type="dxa"/>
          </w:tcPr>
          <w:p w14:paraId="0FB4E6DD" w14:textId="77777777" w:rsidR="00CA5629" w:rsidRPr="00DF77BB" w:rsidRDefault="00CA5629" w:rsidP="00684A8E">
            <w:pPr>
              <w:rPr>
                <w:rFonts w:eastAsia="Times New Roman"/>
                <w:b/>
                <w:sz w:val="20"/>
              </w:rPr>
            </w:pPr>
            <w:r w:rsidRPr="00D731D2">
              <w:rPr>
                <w:rFonts w:eastAsia="Times New Roman"/>
                <w:b/>
                <w:sz w:val="20"/>
              </w:rPr>
              <w:t>Responsible group for review of assurance reports and oversight of action plan</w:t>
            </w:r>
          </w:p>
        </w:tc>
      </w:tr>
      <w:tr w:rsidR="00CA5629" w:rsidRPr="00DF77BB" w14:paraId="1EC8BF1F" w14:textId="77777777" w:rsidTr="00684A8E">
        <w:trPr>
          <w:trHeight w:val="1687"/>
        </w:trPr>
        <w:tc>
          <w:tcPr>
            <w:tcW w:w="1627" w:type="dxa"/>
          </w:tcPr>
          <w:p w14:paraId="45E1FF8B" w14:textId="77777777" w:rsidR="00CA5629" w:rsidRPr="00CA5629" w:rsidRDefault="00CA5629" w:rsidP="00684A8E">
            <w:pPr>
              <w:rPr>
                <w:rFonts w:eastAsia="Times New Roman"/>
                <w:szCs w:val="24"/>
              </w:rPr>
            </w:pPr>
            <w:r w:rsidRPr="00CA5629">
              <w:rPr>
                <w:rFonts w:eastAsia="Times New Roman"/>
                <w:szCs w:val="24"/>
              </w:rPr>
              <w:t>Hand Hygiene Compliance</w:t>
            </w:r>
          </w:p>
        </w:tc>
        <w:tc>
          <w:tcPr>
            <w:tcW w:w="2079" w:type="dxa"/>
          </w:tcPr>
          <w:p w14:paraId="0A15602D" w14:textId="77777777" w:rsidR="00CA5629" w:rsidRPr="00CA5629" w:rsidRDefault="00CA5629" w:rsidP="00684A8E">
            <w:pPr>
              <w:rPr>
                <w:rFonts w:eastAsia="Times New Roman"/>
                <w:szCs w:val="24"/>
              </w:rPr>
            </w:pPr>
            <w:r w:rsidRPr="00CA5629">
              <w:rPr>
                <w:rFonts w:eastAsia="Times New Roman"/>
                <w:szCs w:val="24"/>
              </w:rPr>
              <w:t>All clinical areas will carry out a monthly hand hygiene compliance audit using the tools agreed by the Trust. (</w:t>
            </w:r>
            <w:hyperlink r:id="rId13" w:history="1">
              <w:r w:rsidRPr="00CA5629">
                <w:rPr>
                  <w:rFonts w:eastAsia="Times New Roman"/>
                  <w:color w:val="0000FF"/>
                  <w:szCs w:val="24"/>
                  <w:u w:val="single"/>
                </w:rPr>
                <w:t>Hand Hygiene Audit Tool)</w:t>
              </w:r>
            </w:hyperlink>
            <w:r w:rsidRPr="00CA5629">
              <w:rPr>
                <w:rFonts w:eastAsia="Times New Roman"/>
                <w:szCs w:val="24"/>
              </w:rPr>
              <w:t xml:space="preserve"> </w:t>
            </w:r>
          </w:p>
          <w:p w14:paraId="7117484E" w14:textId="77777777" w:rsidR="00CA5629" w:rsidRPr="00CA5629" w:rsidRDefault="00CA5629" w:rsidP="00684A8E">
            <w:pPr>
              <w:rPr>
                <w:rFonts w:eastAsia="Times New Roman"/>
                <w:szCs w:val="24"/>
              </w:rPr>
            </w:pPr>
          </w:p>
          <w:p w14:paraId="253DCDC0" w14:textId="77777777" w:rsidR="00CA5629" w:rsidRPr="00CA5629" w:rsidRDefault="00CA5629" w:rsidP="00684A8E">
            <w:pPr>
              <w:rPr>
                <w:rFonts w:eastAsia="Times New Roman"/>
                <w:szCs w:val="24"/>
              </w:rPr>
            </w:pPr>
            <w:r w:rsidRPr="00CA5629">
              <w:rPr>
                <w:rFonts w:eastAsia="Times New Roman"/>
                <w:szCs w:val="24"/>
              </w:rPr>
              <w:t>All areas must achieve at least 95% compliance in the audits</w:t>
            </w:r>
          </w:p>
          <w:p w14:paraId="4F0B0A80" w14:textId="77777777" w:rsidR="00CA5629" w:rsidRPr="00CA5629" w:rsidRDefault="00CA5629" w:rsidP="00684A8E">
            <w:pPr>
              <w:rPr>
                <w:rFonts w:eastAsia="Times New Roman"/>
                <w:szCs w:val="24"/>
              </w:rPr>
            </w:pPr>
          </w:p>
          <w:p w14:paraId="759EC2D6" w14:textId="77777777" w:rsidR="00CA5629" w:rsidRPr="00CA5629" w:rsidRDefault="00CA5629" w:rsidP="00684A8E">
            <w:pPr>
              <w:rPr>
                <w:rFonts w:eastAsia="Times New Roman"/>
                <w:szCs w:val="24"/>
              </w:rPr>
            </w:pPr>
          </w:p>
          <w:p w14:paraId="66A592FC" w14:textId="77777777" w:rsidR="00CA5629" w:rsidRPr="00CA5629" w:rsidRDefault="00CA5629" w:rsidP="00684A8E">
            <w:pPr>
              <w:rPr>
                <w:rFonts w:eastAsia="Times New Roman"/>
                <w:szCs w:val="24"/>
              </w:rPr>
            </w:pPr>
            <w:r w:rsidRPr="00CA5629">
              <w:rPr>
                <w:rFonts w:eastAsia="Times New Roman"/>
                <w:szCs w:val="24"/>
              </w:rPr>
              <w:lastRenderedPageBreak/>
              <w:t xml:space="preserve">All clinical areas will have daily hand hygiene compliance measured as part of the ward </w:t>
            </w:r>
            <w:r w:rsidR="0048284B" w:rsidRPr="00CA5629">
              <w:rPr>
                <w:rFonts w:eastAsia="Times New Roman"/>
                <w:szCs w:val="24"/>
              </w:rPr>
              <w:t>Health check</w:t>
            </w:r>
            <w:r w:rsidRPr="00CA5629">
              <w:rPr>
                <w:rFonts w:eastAsia="Times New Roman"/>
                <w:szCs w:val="24"/>
              </w:rPr>
              <w:t xml:space="preserve"> metrics. (</w:t>
            </w:r>
            <w:hyperlink r:id="rId14" w:history="1">
              <w:r w:rsidRPr="00CA5629">
                <w:rPr>
                  <w:rFonts w:eastAsia="Times New Roman"/>
                  <w:color w:val="0000FF"/>
                  <w:szCs w:val="24"/>
                  <w:u w:val="single"/>
                </w:rPr>
                <w:t>Ward health check hub</w:t>
              </w:r>
            </w:hyperlink>
            <w:r w:rsidRPr="00CA5629">
              <w:rPr>
                <w:rFonts w:eastAsia="Times New Roman"/>
                <w:szCs w:val="24"/>
              </w:rPr>
              <w:t>)</w:t>
            </w:r>
          </w:p>
          <w:p w14:paraId="7904C880" w14:textId="77777777" w:rsidR="00CA5629" w:rsidRPr="00CA5629" w:rsidRDefault="00CA5629" w:rsidP="00684A8E">
            <w:pPr>
              <w:rPr>
                <w:rFonts w:eastAsia="Times New Roman"/>
                <w:szCs w:val="24"/>
              </w:rPr>
            </w:pPr>
          </w:p>
        </w:tc>
        <w:tc>
          <w:tcPr>
            <w:tcW w:w="1777" w:type="dxa"/>
          </w:tcPr>
          <w:p w14:paraId="478CD979" w14:textId="77777777" w:rsidR="00CA5629" w:rsidRPr="00CA5629" w:rsidRDefault="00CA5629" w:rsidP="00684A8E">
            <w:pPr>
              <w:rPr>
                <w:rFonts w:eastAsia="Times New Roman"/>
                <w:szCs w:val="24"/>
              </w:rPr>
            </w:pPr>
            <w:r w:rsidRPr="00CA5629">
              <w:rPr>
                <w:rFonts w:eastAsia="Times New Roman"/>
                <w:szCs w:val="24"/>
              </w:rPr>
              <w:lastRenderedPageBreak/>
              <w:t>.</w:t>
            </w:r>
          </w:p>
          <w:p w14:paraId="017FE448" w14:textId="77777777" w:rsidR="00CA5629" w:rsidRPr="00CA5629" w:rsidRDefault="00CA5629" w:rsidP="00684A8E">
            <w:pPr>
              <w:rPr>
                <w:rFonts w:eastAsia="Times New Roman"/>
                <w:szCs w:val="24"/>
              </w:rPr>
            </w:pPr>
          </w:p>
          <w:p w14:paraId="22655229" w14:textId="77777777" w:rsidR="00CA5629" w:rsidRPr="00CA5629" w:rsidRDefault="00CA5629" w:rsidP="00684A8E">
            <w:pPr>
              <w:rPr>
                <w:rFonts w:eastAsia="Times New Roman"/>
                <w:szCs w:val="24"/>
              </w:rPr>
            </w:pPr>
          </w:p>
          <w:p w14:paraId="240DA49F" w14:textId="77777777" w:rsidR="00CA5629" w:rsidRPr="00CA5629" w:rsidRDefault="00CA5629" w:rsidP="00684A8E">
            <w:pPr>
              <w:rPr>
                <w:rFonts w:eastAsia="Times New Roman"/>
                <w:szCs w:val="24"/>
              </w:rPr>
            </w:pPr>
          </w:p>
          <w:p w14:paraId="3A712FCE" w14:textId="77777777" w:rsidR="00CA5629" w:rsidRPr="00CA5629" w:rsidRDefault="00CA5629" w:rsidP="00684A8E">
            <w:pPr>
              <w:rPr>
                <w:rFonts w:eastAsia="Times New Roman"/>
                <w:szCs w:val="24"/>
              </w:rPr>
            </w:pPr>
          </w:p>
          <w:p w14:paraId="2343D156" w14:textId="77777777" w:rsidR="00CA5629" w:rsidRPr="00CA5629" w:rsidRDefault="00CA5629" w:rsidP="00684A8E">
            <w:pPr>
              <w:rPr>
                <w:rFonts w:eastAsia="Times New Roman"/>
                <w:szCs w:val="24"/>
              </w:rPr>
            </w:pPr>
          </w:p>
          <w:p w14:paraId="7BC283CA" w14:textId="77777777" w:rsidR="00CA5629" w:rsidRPr="00CA5629" w:rsidRDefault="00CA5629" w:rsidP="00684A8E">
            <w:pPr>
              <w:rPr>
                <w:rFonts w:eastAsia="Times New Roman"/>
                <w:szCs w:val="24"/>
              </w:rPr>
            </w:pPr>
          </w:p>
          <w:p w14:paraId="7046DB62" w14:textId="77777777" w:rsidR="00CA5629" w:rsidRPr="00CA5629" w:rsidRDefault="00CA5629" w:rsidP="00684A8E">
            <w:pPr>
              <w:rPr>
                <w:rFonts w:eastAsia="Times New Roman"/>
                <w:szCs w:val="24"/>
              </w:rPr>
            </w:pPr>
          </w:p>
          <w:p w14:paraId="695B3A4E" w14:textId="77777777" w:rsidR="00CA5629" w:rsidRPr="00CA5629" w:rsidRDefault="00CA5629" w:rsidP="00684A8E">
            <w:pPr>
              <w:rPr>
                <w:rFonts w:eastAsia="Times New Roman"/>
                <w:szCs w:val="24"/>
              </w:rPr>
            </w:pPr>
            <w:r w:rsidRPr="00CA5629">
              <w:rPr>
                <w:rFonts w:eastAsia="Times New Roman"/>
                <w:szCs w:val="24"/>
              </w:rPr>
              <w:t>Daily hand hygiene audits are monitored through the Ward Metrics</w:t>
            </w:r>
          </w:p>
        </w:tc>
        <w:tc>
          <w:tcPr>
            <w:tcW w:w="1780" w:type="dxa"/>
          </w:tcPr>
          <w:p w14:paraId="6BD8BE57" w14:textId="77777777" w:rsidR="00CA5629" w:rsidRPr="00CA5629" w:rsidRDefault="00CA5629" w:rsidP="00684A8E">
            <w:pPr>
              <w:rPr>
                <w:rFonts w:eastAsia="Times New Roman"/>
                <w:szCs w:val="24"/>
              </w:rPr>
            </w:pPr>
            <w:r w:rsidRPr="00CA5629">
              <w:rPr>
                <w:rFonts w:eastAsia="Times New Roman"/>
                <w:szCs w:val="24"/>
              </w:rPr>
              <w:t>Clinical Directors, CSU Managers and Heads of Nursing will be responsible for monitoring these audits.</w:t>
            </w:r>
          </w:p>
          <w:p w14:paraId="750B010B" w14:textId="77777777" w:rsidR="00CA5629" w:rsidRPr="00CA5629" w:rsidRDefault="00CA5629" w:rsidP="00684A8E">
            <w:pPr>
              <w:rPr>
                <w:rFonts w:eastAsia="Times New Roman"/>
                <w:szCs w:val="24"/>
              </w:rPr>
            </w:pPr>
          </w:p>
          <w:p w14:paraId="42340380" w14:textId="77777777" w:rsidR="00CA5629" w:rsidRPr="00CA5629" w:rsidRDefault="00CA5629" w:rsidP="00684A8E">
            <w:pPr>
              <w:rPr>
                <w:rFonts w:eastAsia="Times New Roman"/>
                <w:szCs w:val="24"/>
              </w:rPr>
            </w:pPr>
          </w:p>
          <w:p w14:paraId="60770CC1" w14:textId="77777777" w:rsidR="00CA5629" w:rsidRPr="00CA5629" w:rsidRDefault="00CA5629" w:rsidP="00684A8E">
            <w:pPr>
              <w:rPr>
                <w:rFonts w:eastAsia="Times New Roman"/>
                <w:szCs w:val="24"/>
              </w:rPr>
            </w:pPr>
          </w:p>
          <w:p w14:paraId="52313E59" w14:textId="77777777" w:rsidR="00CA5629" w:rsidRPr="00CA5629" w:rsidRDefault="00CA5629" w:rsidP="00684A8E">
            <w:pPr>
              <w:rPr>
                <w:rFonts w:eastAsia="Times New Roman"/>
                <w:szCs w:val="24"/>
              </w:rPr>
            </w:pPr>
          </w:p>
          <w:p w14:paraId="4631CE4C" w14:textId="77777777" w:rsidR="00CA5629" w:rsidRPr="00CA5629" w:rsidRDefault="00CA5629" w:rsidP="00684A8E">
            <w:pPr>
              <w:rPr>
                <w:rFonts w:eastAsia="Times New Roman"/>
                <w:szCs w:val="24"/>
              </w:rPr>
            </w:pPr>
          </w:p>
          <w:p w14:paraId="7FC41E02" w14:textId="77777777" w:rsidR="00CA5629" w:rsidRPr="00CA5629" w:rsidRDefault="00CA5629" w:rsidP="00684A8E">
            <w:pPr>
              <w:rPr>
                <w:rFonts w:eastAsia="Times New Roman"/>
                <w:szCs w:val="24"/>
              </w:rPr>
            </w:pPr>
            <w:r w:rsidRPr="00CA5629">
              <w:rPr>
                <w:rFonts w:eastAsia="Times New Roman"/>
                <w:szCs w:val="24"/>
              </w:rPr>
              <w:t xml:space="preserve"> </w:t>
            </w:r>
          </w:p>
          <w:p w14:paraId="21C04237" w14:textId="77777777" w:rsidR="00CA5629" w:rsidRPr="00CA5629" w:rsidRDefault="00CA5629" w:rsidP="00684A8E">
            <w:pPr>
              <w:rPr>
                <w:rFonts w:eastAsia="Times New Roman"/>
                <w:szCs w:val="24"/>
              </w:rPr>
            </w:pPr>
          </w:p>
          <w:p w14:paraId="67B90BD3" w14:textId="77777777" w:rsidR="00CA5629" w:rsidRPr="00CA5629" w:rsidRDefault="00CA5629" w:rsidP="00684A8E">
            <w:pPr>
              <w:rPr>
                <w:rFonts w:eastAsia="Times New Roman"/>
                <w:szCs w:val="24"/>
              </w:rPr>
            </w:pPr>
          </w:p>
          <w:p w14:paraId="4107814F" w14:textId="77777777" w:rsidR="00CA5629" w:rsidRPr="00CA5629" w:rsidRDefault="00CA5629" w:rsidP="00684A8E">
            <w:pPr>
              <w:rPr>
                <w:rFonts w:eastAsia="Times New Roman"/>
                <w:szCs w:val="24"/>
              </w:rPr>
            </w:pPr>
            <w:r w:rsidRPr="00CA5629">
              <w:rPr>
                <w:rFonts w:eastAsia="Times New Roman"/>
                <w:szCs w:val="24"/>
              </w:rPr>
              <w:lastRenderedPageBreak/>
              <w:t>Corporate Nursing monitor these hand hygiene audits</w:t>
            </w:r>
          </w:p>
        </w:tc>
        <w:tc>
          <w:tcPr>
            <w:tcW w:w="1770" w:type="dxa"/>
          </w:tcPr>
          <w:p w14:paraId="57F87D81" w14:textId="77777777" w:rsidR="00CA5629" w:rsidRPr="00CA5629" w:rsidRDefault="00CA5629" w:rsidP="00684A8E">
            <w:pPr>
              <w:rPr>
                <w:rFonts w:eastAsia="Times New Roman"/>
                <w:szCs w:val="24"/>
              </w:rPr>
            </w:pPr>
            <w:r w:rsidRPr="00CA5629">
              <w:rPr>
                <w:rFonts w:eastAsia="Times New Roman"/>
                <w:szCs w:val="24"/>
              </w:rPr>
              <w:lastRenderedPageBreak/>
              <w:t>Both sets of audits require monitoring monthly</w:t>
            </w:r>
          </w:p>
          <w:p w14:paraId="72F3947A" w14:textId="77777777" w:rsidR="00CA5629" w:rsidRPr="00CA5629" w:rsidRDefault="00CA5629" w:rsidP="00684A8E">
            <w:pPr>
              <w:rPr>
                <w:rFonts w:eastAsia="Times New Roman"/>
                <w:szCs w:val="24"/>
              </w:rPr>
            </w:pPr>
          </w:p>
          <w:p w14:paraId="05940BA1" w14:textId="77777777" w:rsidR="00CA5629" w:rsidRPr="00CA5629" w:rsidRDefault="00CA5629" w:rsidP="00684A8E">
            <w:pPr>
              <w:rPr>
                <w:rFonts w:eastAsia="Times New Roman"/>
                <w:szCs w:val="24"/>
              </w:rPr>
            </w:pPr>
          </w:p>
          <w:p w14:paraId="1B8EC3FB" w14:textId="77777777" w:rsidR="00CA5629" w:rsidRPr="00CA5629" w:rsidRDefault="00CA5629" w:rsidP="00684A8E">
            <w:pPr>
              <w:rPr>
                <w:rFonts w:eastAsia="Times New Roman"/>
                <w:szCs w:val="24"/>
              </w:rPr>
            </w:pPr>
          </w:p>
          <w:p w14:paraId="4F013944" w14:textId="77777777" w:rsidR="00CA5629" w:rsidRPr="00CA5629" w:rsidRDefault="00CA5629" w:rsidP="00684A8E">
            <w:pPr>
              <w:rPr>
                <w:rFonts w:eastAsia="Times New Roman"/>
                <w:szCs w:val="24"/>
              </w:rPr>
            </w:pPr>
          </w:p>
          <w:p w14:paraId="7CFED1AC" w14:textId="77777777" w:rsidR="00CA5629" w:rsidRPr="00CA5629" w:rsidRDefault="00CA5629" w:rsidP="00684A8E">
            <w:pPr>
              <w:rPr>
                <w:rFonts w:eastAsia="Times New Roman"/>
                <w:szCs w:val="24"/>
              </w:rPr>
            </w:pPr>
          </w:p>
          <w:p w14:paraId="56BEA9DF" w14:textId="77777777" w:rsidR="00CA5629" w:rsidRPr="00CA5629" w:rsidRDefault="00CA5629" w:rsidP="00684A8E">
            <w:pPr>
              <w:rPr>
                <w:rFonts w:eastAsia="Times New Roman"/>
                <w:szCs w:val="24"/>
              </w:rPr>
            </w:pPr>
          </w:p>
          <w:p w14:paraId="6B87A98C" w14:textId="77777777" w:rsidR="00CA5629" w:rsidRPr="00CA5629" w:rsidRDefault="00CA5629" w:rsidP="00684A8E">
            <w:pPr>
              <w:rPr>
                <w:rFonts w:eastAsia="Times New Roman"/>
                <w:szCs w:val="24"/>
              </w:rPr>
            </w:pPr>
          </w:p>
          <w:p w14:paraId="4E806262" w14:textId="77777777" w:rsidR="00CA5629" w:rsidRPr="00CA5629" w:rsidRDefault="00CA5629" w:rsidP="00684A8E">
            <w:pPr>
              <w:rPr>
                <w:rFonts w:eastAsia="Times New Roman"/>
                <w:szCs w:val="24"/>
              </w:rPr>
            </w:pPr>
          </w:p>
          <w:p w14:paraId="2E4B33A0" w14:textId="77777777" w:rsidR="00CA5629" w:rsidRPr="00CA5629" w:rsidRDefault="00CA5629" w:rsidP="00684A8E">
            <w:pPr>
              <w:rPr>
                <w:rFonts w:eastAsia="Times New Roman"/>
                <w:szCs w:val="24"/>
              </w:rPr>
            </w:pPr>
          </w:p>
          <w:p w14:paraId="16085BCB" w14:textId="77777777" w:rsidR="00CA5629" w:rsidRPr="00CA5629" w:rsidRDefault="00CA5629" w:rsidP="00684A8E">
            <w:pPr>
              <w:rPr>
                <w:rFonts w:eastAsia="Times New Roman"/>
                <w:szCs w:val="24"/>
              </w:rPr>
            </w:pPr>
          </w:p>
          <w:p w14:paraId="59B625FA" w14:textId="77777777" w:rsidR="00CA5629" w:rsidRPr="00CA5629" w:rsidRDefault="00CA5629" w:rsidP="00684A8E">
            <w:pPr>
              <w:rPr>
                <w:rFonts w:eastAsia="Times New Roman"/>
                <w:szCs w:val="24"/>
              </w:rPr>
            </w:pPr>
          </w:p>
          <w:p w14:paraId="3BDBE09B" w14:textId="77777777" w:rsidR="00CA5629" w:rsidRPr="00CA5629" w:rsidRDefault="00CA5629" w:rsidP="00684A8E">
            <w:pPr>
              <w:rPr>
                <w:rFonts w:eastAsia="Times New Roman"/>
                <w:szCs w:val="24"/>
              </w:rPr>
            </w:pPr>
            <w:r w:rsidRPr="00CA5629">
              <w:rPr>
                <w:rFonts w:eastAsia="Times New Roman"/>
                <w:szCs w:val="24"/>
              </w:rPr>
              <w:t>Monitored and sent out twice weekly</w:t>
            </w:r>
          </w:p>
        </w:tc>
        <w:tc>
          <w:tcPr>
            <w:tcW w:w="2166" w:type="dxa"/>
          </w:tcPr>
          <w:p w14:paraId="7D446CA7" w14:textId="77777777" w:rsidR="00CA5629" w:rsidRPr="00CA5629" w:rsidRDefault="00CA5629" w:rsidP="00684A8E">
            <w:pPr>
              <w:rPr>
                <w:rFonts w:eastAsia="Times New Roman"/>
                <w:szCs w:val="24"/>
              </w:rPr>
            </w:pPr>
          </w:p>
          <w:p w14:paraId="45093469" w14:textId="77777777" w:rsidR="00CA5629" w:rsidRPr="00CA5629" w:rsidRDefault="00CA5629" w:rsidP="00684A8E">
            <w:pPr>
              <w:rPr>
                <w:rFonts w:eastAsia="Times New Roman"/>
                <w:szCs w:val="24"/>
              </w:rPr>
            </w:pPr>
          </w:p>
          <w:p w14:paraId="0D2C6FCC" w14:textId="77777777" w:rsidR="00CA5629" w:rsidRPr="00CA5629" w:rsidRDefault="00CA5629" w:rsidP="00684A8E">
            <w:pPr>
              <w:rPr>
                <w:rFonts w:eastAsia="Times New Roman"/>
                <w:szCs w:val="24"/>
              </w:rPr>
            </w:pPr>
            <w:r w:rsidRPr="00CA5629">
              <w:rPr>
                <w:rFonts w:eastAsia="Times New Roman"/>
                <w:szCs w:val="24"/>
              </w:rPr>
              <w:t>Corporate Nursing carry out assurance audits for any areas scoring below 95%</w:t>
            </w:r>
          </w:p>
        </w:tc>
        <w:tc>
          <w:tcPr>
            <w:tcW w:w="2749" w:type="dxa"/>
          </w:tcPr>
          <w:p w14:paraId="7CC99BCE" w14:textId="77777777" w:rsidR="00CA5629" w:rsidRPr="00CA5629" w:rsidRDefault="00CA5629" w:rsidP="00684A8E">
            <w:pPr>
              <w:rPr>
                <w:rFonts w:eastAsia="Times New Roman"/>
                <w:szCs w:val="24"/>
              </w:rPr>
            </w:pPr>
            <w:r w:rsidRPr="00CA5629">
              <w:rPr>
                <w:rFonts w:eastAsia="Times New Roman"/>
                <w:szCs w:val="24"/>
              </w:rPr>
              <w:t>CSU Infection Prevention/Governance Meetings will ensure action plans are fully implemented and follow up on action plan implementation quarterly.</w:t>
            </w:r>
          </w:p>
          <w:p w14:paraId="5D6B1E9A" w14:textId="77777777" w:rsidR="00CA5629" w:rsidRPr="00CA5629" w:rsidRDefault="00CA5629" w:rsidP="00684A8E">
            <w:pPr>
              <w:rPr>
                <w:rFonts w:eastAsia="Times New Roman"/>
                <w:szCs w:val="24"/>
              </w:rPr>
            </w:pPr>
          </w:p>
          <w:p w14:paraId="7181E205" w14:textId="77777777" w:rsidR="00CA5629" w:rsidRPr="00CA5629" w:rsidRDefault="00CA5629" w:rsidP="00684A8E">
            <w:pPr>
              <w:rPr>
                <w:rFonts w:eastAsia="Times New Roman"/>
                <w:szCs w:val="24"/>
              </w:rPr>
            </w:pPr>
            <w:r w:rsidRPr="00CA5629">
              <w:rPr>
                <w:rFonts w:eastAsia="Times New Roman"/>
                <w:szCs w:val="24"/>
              </w:rPr>
              <w:t xml:space="preserve">Any outstanding risks associated with hand hygiene compliance, facilities or education/training should be added to the CSU Assurance Framework (BAF) and fed into the Infection </w:t>
            </w:r>
            <w:r w:rsidRPr="00CA5629">
              <w:rPr>
                <w:rFonts w:eastAsia="Times New Roman"/>
                <w:szCs w:val="24"/>
              </w:rPr>
              <w:lastRenderedPageBreak/>
              <w:t xml:space="preserve">Prevention and Control Sub Committee </w:t>
            </w:r>
          </w:p>
        </w:tc>
      </w:tr>
      <w:tr w:rsidR="00CA5629" w:rsidRPr="00DF77BB" w14:paraId="690F8B59" w14:textId="77777777" w:rsidTr="00684A8E">
        <w:trPr>
          <w:trHeight w:val="1687"/>
        </w:trPr>
        <w:tc>
          <w:tcPr>
            <w:tcW w:w="1627" w:type="dxa"/>
          </w:tcPr>
          <w:p w14:paraId="1658D1EB" w14:textId="77777777" w:rsidR="00CA5629" w:rsidRPr="00CA5629" w:rsidRDefault="00CA5629" w:rsidP="00684A8E">
            <w:pPr>
              <w:pStyle w:val="CommentText"/>
              <w:rPr>
                <w:sz w:val="24"/>
                <w:szCs w:val="24"/>
              </w:rPr>
            </w:pPr>
            <w:r w:rsidRPr="00CA5629">
              <w:rPr>
                <w:sz w:val="24"/>
                <w:szCs w:val="24"/>
              </w:rPr>
              <w:lastRenderedPageBreak/>
              <w:t>IPC mandatory training</w:t>
            </w:r>
          </w:p>
          <w:p w14:paraId="6879ED0D" w14:textId="77777777" w:rsidR="00CA5629" w:rsidRPr="00CA5629" w:rsidRDefault="00CA5629" w:rsidP="00684A8E">
            <w:pPr>
              <w:rPr>
                <w:rFonts w:eastAsia="Times New Roman"/>
                <w:szCs w:val="24"/>
              </w:rPr>
            </w:pPr>
          </w:p>
        </w:tc>
        <w:tc>
          <w:tcPr>
            <w:tcW w:w="2079" w:type="dxa"/>
          </w:tcPr>
          <w:p w14:paraId="2887ECE8" w14:textId="77777777" w:rsidR="00CA5629" w:rsidRPr="00CA5629" w:rsidRDefault="00CA5629" w:rsidP="00684A8E">
            <w:pPr>
              <w:rPr>
                <w:rFonts w:eastAsia="Times New Roman"/>
                <w:szCs w:val="24"/>
              </w:rPr>
            </w:pPr>
            <w:r w:rsidRPr="00CA5629">
              <w:rPr>
                <w:rFonts w:eastAsia="Times New Roman"/>
                <w:szCs w:val="24"/>
              </w:rPr>
              <w:t xml:space="preserve">95% Completion of Mandatory IPC training </w:t>
            </w:r>
          </w:p>
        </w:tc>
        <w:tc>
          <w:tcPr>
            <w:tcW w:w="1777" w:type="dxa"/>
          </w:tcPr>
          <w:p w14:paraId="01984A51" w14:textId="77777777" w:rsidR="00CA5629" w:rsidRPr="00CA5629" w:rsidRDefault="00CA5629" w:rsidP="00684A8E">
            <w:pPr>
              <w:rPr>
                <w:rFonts w:eastAsia="Times New Roman"/>
                <w:szCs w:val="24"/>
              </w:rPr>
            </w:pPr>
            <w:r w:rsidRPr="00CA5629">
              <w:rPr>
                <w:szCs w:val="24"/>
              </w:rPr>
              <w:t>quarterly assurance on their mandatory training compliance for IPC through the HCAI group</w:t>
            </w:r>
          </w:p>
        </w:tc>
        <w:tc>
          <w:tcPr>
            <w:tcW w:w="1780" w:type="dxa"/>
          </w:tcPr>
          <w:p w14:paraId="4A67A439" w14:textId="77777777" w:rsidR="00CA5629" w:rsidRPr="00CA5629" w:rsidRDefault="00CA5629" w:rsidP="00684A8E">
            <w:pPr>
              <w:rPr>
                <w:rFonts w:eastAsia="Times New Roman"/>
                <w:szCs w:val="24"/>
              </w:rPr>
            </w:pPr>
            <w:r w:rsidRPr="00CA5629">
              <w:rPr>
                <w:rFonts w:eastAsia="Times New Roman"/>
                <w:szCs w:val="24"/>
              </w:rPr>
              <w:t>Clinical Directors, CSU Managers and Heads of Nursing will be responsible for monitoring these audits</w:t>
            </w:r>
          </w:p>
        </w:tc>
        <w:tc>
          <w:tcPr>
            <w:tcW w:w="1770" w:type="dxa"/>
          </w:tcPr>
          <w:p w14:paraId="0513EB4A" w14:textId="77777777" w:rsidR="00CA5629" w:rsidRPr="00CA5629" w:rsidRDefault="00CA5629" w:rsidP="00684A8E">
            <w:pPr>
              <w:rPr>
                <w:rFonts w:eastAsia="Times New Roman"/>
                <w:szCs w:val="24"/>
              </w:rPr>
            </w:pPr>
            <w:r w:rsidRPr="00CA5629">
              <w:rPr>
                <w:rFonts w:eastAsia="Times New Roman"/>
                <w:szCs w:val="24"/>
              </w:rPr>
              <w:t>require monitoring monthly</w:t>
            </w:r>
          </w:p>
          <w:p w14:paraId="683626E2" w14:textId="77777777" w:rsidR="00CA5629" w:rsidRPr="00CA5629" w:rsidRDefault="00CA5629" w:rsidP="00684A8E">
            <w:pPr>
              <w:rPr>
                <w:rFonts w:eastAsia="Times New Roman"/>
                <w:szCs w:val="24"/>
              </w:rPr>
            </w:pPr>
          </w:p>
        </w:tc>
        <w:tc>
          <w:tcPr>
            <w:tcW w:w="2166" w:type="dxa"/>
          </w:tcPr>
          <w:p w14:paraId="007EA45E" w14:textId="77777777" w:rsidR="00CA5629" w:rsidRPr="00CA5629" w:rsidRDefault="00CA5629" w:rsidP="00684A8E">
            <w:pPr>
              <w:rPr>
                <w:rFonts w:eastAsia="Times New Roman"/>
                <w:szCs w:val="24"/>
              </w:rPr>
            </w:pPr>
            <w:r w:rsidRPr="00CA5629">
              <w:rPr>
                <w:rFonts w:eastAsia="Times New Roman"/>
                <w:szCs w:val="24"/>
              </w:rPr>
              <w:t>Each clinical area will develop a local action plan if their compliance falls below 95. Any actions will be addressed at the monthly CSU Infection Prevention/Governance meetings</w:t>
            </w:r>
          </w:p>
          <w:p w14:paraId="15744BB8" w14:textId="77777777" w:rsidR="00CA5629" w:rsidRPr="00CA5629" w:rsidRDefault="00CA5629" w:rsidP="00684A8E">
            <w:pPr>
              <w:rPr>
                <w:rFonts w:eastAsia="Times New Roman"/>
                <w:szCs w:val="24"/>
              </w:rPr>
            </w:pPr>
          </w:p>
        </w:tc>
        <w:tc>
          <w:tcPr>
            <w:tcW w:w="2749" w:type="dxa"/>
          </w:tcPr>
          <w:p w14:paraId="298993B5" w14:textId="77777777" w:rsidR="00CA5629" w:rsidRPr="00CA5629" w:rsidRDefault="00CA5629" w:rsidP="00684A8E">
            <w:pPr>
              <w:rPr>
                <w:rFonts w:eastAsia="Times New Roman"/>
                <w:szCs w:val="24"/>
              </w:rPr>
            </w:pPr>
            <w:r w:rsidRPr="00CA5629">
              <w:rPr>
                <w:rFonts w:eastAsia="Times New Roman"/>
                <w:szCs w:val="24"/>
              </w:rPr>
              <w:t xml:space="preserve">CSU Infection Prevention/Governance Meetings will ensure action plans are fully implemented and follow up on action plan implementation quarterly </w:t>
            </w:r>
          </w:p>
          <w:p w14:paraId="1DF45F22" w14:textId="77777777" w:rsidR="00CA5629" w:rsidRPr="00CA5629" w:rsidRDefault="00CA5629" w:rsidP="00684A8E">
            <w:pPr>
              <w:rPr>
                <w:rFonts w:eastAsia="Times New Roman"/>
                <w:szCs w:val="24"/>
              </w:rPr>
            </w:pPr>
            <w:r w:rsidRPr="00CA5629">
              <w:rPr>
                <w:rFonts w:eastAsia="Times New Roman"/>
                <w:szCs w:val="24"/>
              </w:rPr>
              <w:t>Any outstanding risks associated with mandatory training compliance should be added to the CSU Assurance Framework (BAF) and fed into the Infection Prevention and Control Sub Committee</w:t>
            </w:r>
          </w:p>
          <w:p w14:paraId="42F26B6A" w14:textId="77777777" w:rsidR="00CA5629" w:rsidRPr="00CA5629" w:rsidRDefault="00CA5629" w:rsidP="00684A8E">
            <w:pPr>
              <w:rPr>
                <w:rFonts w:eastAsia="Times New Roman"/>
                <w:szCs w:val="24"/>
              </w:rPr>
            </w:pPr>
          </w:p>
        </w:tc>
      </w:tr>
      <w:tr w:rsidR="00CA5629" w:rsidRPr="00DF77BB" w14:paraId="5F68ADE2" w14:textId="77777777" w:rsidTr="00684A8E">
        <w:trPr>
          <w:trHeight w:val="1687"/>
        </w:trPr>
        <w:tc>
          <w:tcPr>
            <w:tcW w:w="1627" w:type="dxa"/>
          </w:tcPr>
          <w:p w14:paraId="1461C295" w14:textId="77777777" w:rsidR="00CA5629" w:rsidRPr="00CA5629" w:rsidRDefault="00CA5629" w:rsidP="00684A8E">
            <w:pPr>
              <w:pStyle w:val="CommentText"/>
              <w:rPr>
                <w:sz w:val="24"/>
                <w:szCs w:val="24"/>
              </w:rPr>
            </w:pPr>
            <w:r w:rsidRPr="00CA5629">
              <w:rPr>
                <w:sz w:val="24"/>
                <w:szCs w:val="24"/>
              </w:rPr>
              <w:lastRenderedPageBreak/>
              <w:t>Cleaning standards</w:t>
            </w:r>
          </w:p>
          <w:p w14:paraId="05727B2A" w14:textId="77777777" w:rsidR="00CA5629" w:rsidRPr="00CA5629" w:rsidRDefault="00CA5629" w:rsidP="00684A8E">
            <w:pPr>
              <w:rPr>
                <w:rFonts w:eastAsia="Times New Roman"/>
                <w:szCs w:val="24"/>
              </w:rPr>
            </w:pPr>
          </w:p>
        </w:tc>
        <w:tc>
          <w:tcPr>
            <w:tcW w:w="2079" w:type="dxa"/>
          </w:tcPr>
          <w:p w14:paraId="13EBB41B" w14:textId="77777777" w:rsidR="00CA5629" w:rsidRPr="00CA5629" w:rsidRDefault="00CA5629" w:rsidP="00684A8E">
            <w:pPr>
              <w:rPr>
                <w:rFonts w:eastAsia="Times New Roman"/>
                <w:szCs w:val="24"/>
              </w:rPr>
            </w:pPr>
            <w:r w:rsidRPr="00CA5629">
              <w:rPr>
                <w:rFonts w:eastAsia="Times New Roman"/>
                <w:szCs w:val="24"/>
              </w:rPr>
              <w:t xml:space="preserve">Compliance with the national cleaning standards </w:t>
            </w:r>
          </w:p>
        </w:tc>
        <w:tc>
          <w:tcPr>
            <w:tcW w:w="1777" w:type="dxa"/>
          </w:tcPr>
          <w:p w14:paraId="54692BFA" w14:textId="77777777" w:rsidR="00CA5629" w:rsidRPr="00CA5629" w:rsidRDefault="00CA5629" w:rsidP="00684A8E">
            <w:pPr>
              <w:rPr>
                <w:rFonts w:eastAsia="Times New Roman"/>
                <w:szCs w:val="24"/>
              </w:rPr>
            </w:pPr>
            <w:r w:rsidRPr="00CA5629">
              <w:rPr>
                <w:rFonts w:eastAsia="Times New Roman"/>
                <w:szCs w:val="24"/>
              </w:rPr>
              <w:t>Facilities produces/present a monthly  governance Cleaning report at the HCAI group forum, which provides assurance against all the mandated  aspects of the NSoHC 21</w:t>
            </w:r>
            <w:r w:rsidR="00BA06DF">
              <w:rPr>
                <w:rFonts w:eastAsia="Times New Roman"/>
                <w:szCs w:val="24"/>
              </w:rPr>
              <w:t xml:space="preserve"> updated 2025</w:t>
            </w:r>
            <w:r w:rsidRPr="00CA5629">
              <w:rPr>
                <w:rFonts w:eastAsia="Times New Roman"/>
                <w:szCs w:val="24"/>
              </w:rPr>
              <w:t xml:space="preserve">: which are: Defined/assigned Cleaning Responsibilities by staff group, Audit Frequency, Display of Star Ratings, Efficacy Audits,  Commitment to Cleanliness Charters in patient facing areas, Mandated completion of Cleaning of Elements and their Frequency of cleaning to </w:t>
            </w:r>
            <w:r w:rsidRPr="00CA5629">
              <w:rPr>
                <w:rFonts w:eastAsia="Times New Roman"/>
                <w:szCs w:val="24"/>
              </w:rPr>
              <w:lastRenderedPageBreak/>
              <w:t xml:space="preserve">achieve the defined standards and finally, matching of all  6 functional risks </w:t>
            </w:r>
            <w:r w:rsidR="0048284B" w:rsidRPr="00CA5629">
              <w:rPr>
                <w:rFonts w:eastAsia="Times New Roman"/>
                <w:szCs w:val="24"/>
              </w:rPr>
              <w:t>categories</w:t>
            </w:r>
            <w:r w:rsidRPr="00CA5629">
              <w:rPr>
                <w:rFonts w:eastAsia="Times New Roman"/>
                <w:szCs w:val="24"/>
              </w:rPr>
              <w:t xml:space="preserve"> from Functional Risk (FR) 6 to FR1s, theatres/ICU's et al.</w:t>
            </w:r>
          </w:p>
        </w:tc>
        <w:tc>
          <w:tcPr>
            <w:tcW w:w="1780" w:type="dxa"/>
          </w:tcPr>
          <w:p w14:paraId="61C8EA30" w14:textId="77777777" w:rsidR="00CA5629" w:rsidRPr="00CA5629" w:rsidRDefault="00CA5629" w:rsidP="00684A8E">
            <w:pPr>
              <w:rPr>
                <w:rFonts w:eastAsia="Times New Roman"/>
                <w:szCs w:val="24"/>
              </w:rPr>
            </w:pPr>
            <w:r w:rsidRPr="00CA5629">
              <w:rPr>
                <w:rFonts w:eastAsia="Times New Roman"/>
                <w:szCs w:val="24"/>
              </w:rPr>
              <w:lastRenderedPageBreak/>
              <w:t>Clinical Directors, CSU Managers and Heads of Nursing will be responsible for monitoring these audits</w:t>
            </w:r>
          </w:p>
        </w:tc>
        <w:tc>
          <w:tcPr>
            <w:tcW w:w="1770" w:type="dxa"/>
          </w:tcPr>
          <w:p w14:paraId="73CD2181" w14:textId="77777777" w:rsidR="00CA5629" w:rsidRPr="00CA5629" w:rsidRDefault="00CA5629" w:rsidP="00684A8E">
            <w:pPr>
              <w:rPr>
                <w:rFonts w:eastAsia="Times New Roman"/>
                <w:szCs w:val="24"/>
              </w:rPr>
            </w:pPr>
            <w:r w:rsidRPr="00CA5629">
              <w:rPr>
                <w:rFonts w:eastAsia="Times New Roman"/>
                <w:szCs w:val="24"/>
              </w:rPr>
              <w:t>require monitoring monthly</w:t>
            </w:r>
          </w:p>
          <w:p w14:paraId="1F8B4B8D" w14:textId="77777777" w:rsidR="00CA5629" w:rsidRPr="00CA5629" w:rsidRDefault="00CA5629" w:rsidP="00684A8E">
            <w:pPr>
              <w:rPr>
                <w:rFonts w:eastAsia="Times New Roman"/>
                <w:szCs w:val="24"/>
              </w:rPr>
            </w:pPr>
          </w:p>
        </w:tc>
        <w:tc>
          <w:tcPr>
            <w:tcW w:w="2166" w:type="dxa"/>
          </w:tcPr>
          <w:p w14:paraId="3DDE1319" w14:textId="77777777" w:rsidR="00CA5629" w:rsidRPr="00CA5629" w:rsidRDefault="00CA5629" w:rsidP="00684A8E">
            <w:pPr>
              <w:rPr>
                <w:rFonts w:eastAsia="Times New Roman"/>
                <w:szCs w:val="24"/>
              </w:rPr>
            </w:pPr>
            <w:r w:rsidRPr="00CA5629">
              <w:rPr>
                <w:rFonts w:eastAsia="Times New Roman"/>
                <w:szCs w:val="24"/>
              </w:rPr>
              <w:t xml:space="preserve">Each clinical area will develop a local action plan if failed efficacy audit </w:t>
            </w:r>
          </w:p>
        </w:tc>
        <w:tc>
          <w:tcPr>
            <w:tcW w:w="2749" w:type="dxa"/>
          </w:tcPr>
          <w:p w14:paraId="0B8F8CBD" w14:textId="77777777" w:rsidR="00CA5629" w:rsidRPr="00CA5629" w:rsidRDefault="00CA5629" w:rsidP="00684A8E">
            <w:pPr>
              <w:rPr>
                <w:rFonts w:eastAsia="Times New Roman"/>
                <w:szCs w:val="24"/>
              </w:rPr>
            </w:pPr>
            <w:r w:rsidRPr="00CA5629">
              <w:rPr>
                <w:rFonts w:eastAsia="Times New Roman"/>
                <w:szCs w:val="24"/>
              </w:rPr>
              <w:t xml:space="preserve">CSU Infection Prevention/Governance Meetings will ensure action plans are fully implemented and follow up on action plan implementation quarterly </w:t>
            </w:r>
          </w:p>
          <w:p w14:paraId="1D16DC4B" w14:textId="77777777" w:rsidR="00CA5629" w:rsidRPr="00CA5629" w:rsidRDefault="00CA5629" w:rsidP="00684A8E">
            <w:pPr>
              <w:rPr>
                <w:rFonts w:eastAsia="Times New Roman"/>
                <w:szCs w:val="24"/>
              </w:rPr>
            </w:pPr>
            <w:r w:rsidRPr="00CA5629">
              <w:rPr>
                <w:rFonts w:eastAsia="Times New Roman"/>
                <w:szCs w:val="24"/>
              </w:rPr>
              <w:t>Any outstanding risks associated with compliance  should be added to the CSU Assurance Framework (BAF) and fed into the Infection Prevention and Control Sub Committee</w:t>
            </w:r>
          </w:p>
          <w:p w14:paraId="110DF47A" w14:textId="77777777" w:rsidR="00CA5629" w:rsidRPr="00CA5629" w:rsidRDefault="00CA5629" w:rsidP="00684A8E">
            <w:pPr>
              <w:rPr>
                <w:rFonts w:eastAsia="Times New Roman"/>
                <w:szCs w:val="24"/>
              </w:rPr>
            </w:pPr>
          </w:p>
        </w:tc>
      </w:tr>
      <w:tr w:rsidR="00CA5629" w:rsidRPr="00DF77BB" w14:paraId="6FA54866" w14:textId="77777777" w:rsidTr="00684A8E">
        <w:trPr>
          <w:trHeight w:val="1687"/>
        </w:trPr>
        <w:tc>
          <w:tcPr>
            <w:tcW w:w="1627" w:type="dxa"/>
          </w:tcPr>
          <w:p w14:paraId="4DE38E78" w14:textId="77777777" w:rsidR="00CA5629" w:rsidRPr="00CA5629" w:rsidRDefault="00CA5629" w:rsidP="00684A8E">
            <w:pPr>
              <w:pStyle w:val="CommentText"/>
              <w:rPr>
                <w:sz w:val="24"/>
                <w:szCs w:val="24"/>
              </w:rPr>
            </w:pPr>
            <w:r w:rsidRPr="00CA5629">
              <w:rPr>
                <w:sz w:val="24"/>
                <w:szCs w:val="24"/>
              </w:rPr>
              <w:t>Device documentation audits</w:t>
            </w:r>
          </w:p>
          <w:p w14:paraId="2DDD637E" w14:textId="77777777" w:rsidR="00CA5629" w:rsidRPr="00CA5629" w:rsidRDefault="00CA5629" w:rsidP="00684A8E">
            <w:pPr>
              <w:pStyle w:val="CommentText"/>
              <w:rPr>
                <w:sz w:val="24"/>
                <w:szCs w:val="24"/>
              </w:rPr>
            </w:pPr>
          </w:p>
          <w:p w14:paraId="213EA0B5" w14:textId="77777777" w:rsidR="00CA5629" w:rsidRPr="00CA5629" w:rsidRDefault="00CA5629" w:rsidP="00684A8E">
            <w:pPr>
              <w:rPr>
                <w:rFonts w:eastAsia="Times New Roman"/>
                <w:szCs w:val="24"/>
              </w:rPr>
            </w:pPr>
          </w:p>
        </w:tc>
        <w:tc>
          <w:tcPr>
            <w:tcW w:w="2079" w:type="dxa"/>
          </w:tcPr>
          <w:p w14:paraId="7AA8019D" w14:textId="77777777" w:rsidR="00CA5629" w:rsidRPr="00CA5629" w:rsidRDefault="00CA5629" w:rsidP="00684A8E">
            <w:pPr>
              <w:rPr>
                <w:rFonts w:eastAsia="Times New Roman"/>
                <w:szCs w:val="24"/>
              </w:rPr>
            </w:pPr>
            <w:r w:rsidRPr="00CA5629">
              <w:rPr>
                <w:rFonts w:eastAsia="Times New Roman"/>
                <w:szCs w:val="24"/>
              </w:rPr>
              <w:t xml:space="preserve">Completion of Invasive device as per Trust wide plan  </w:t>
            </w:r>
          </w:p>
          <w:p w14:paraId="1A52D747" w14:textId="77777777" w:rsidR="0048284B" w:rsidRDefault="00CA5629" w:rsidP="00684A8E">
            <w:pPr>
              <w:rPr>
                <w:rFonts w:eastAsia="Times New Roman"/>
                <w:szCs w:val="24"/>
              </w:rPr>
            </w:pPr>
            <w:r w:rsidRPr="00CA5629">
              <w:rPr>
                <w:rFonts w:eastAsia="Times New Roman"/>
                <w:szCs w:val="24"/>
              </w:rPr>
              <w:t xml:space="preserve">Compliance with </w:t>
            </w:r>
            <w:r w:rsidR="0048284B" w:rsidRPr="0048284B">
              <w:rPr>
                <w:rFonts w:eastAsia="Times New Roman"/>
                <w:szCs w:val="24"/>
              </w:rPr>
              <w:t>Peripheral Venous Cannula (PVC, Insertion and Management of in Adults and Children)</w:t>
            </w:r>
            <w:r w:rsidR="0048284B" w:rsidRPr="00CA5629">
              <w:rPr>
                <w:rFonts w:eastAsia="Times New Roman"/>
                <w:szCs w:val="24"/>
              </w:rPr>
              <w:t xml:space="preserve"> </w:t>
            </w:r>
          </w:p>
          <w:p w14:paraId="7719805A" w14:textId="77777777" w:rsidR="00CA5629" w:rsidRPr="00CA5629" w:rsidRDefault="0048284B" w:rsidP="00684A8E">
            <w:pPr>
              <w:rPr>
                <w:rFonts w:eastAsia="Times New Roman"/>
                <w:szCs w:val="24"/>
              </w:rPr>
            </w:pPr>
            <w:r w:rsidRPr="00CA5629">
              <w:rPr>
                <w:rFonts w:eastAsia="Times New Roman"/>
                <w:szCs w:val="24"/>
              </w:rPr>
              <w:t>and</w:t>
            </w:r>
            <w:r w:rsidR="00CA5629" w:rsidRPr="00CA5629">
              <w:rPr>
                <w:rFonts w:eastAsia="Times New Roman"/>
                <w:szCs w:val="24"/>
              </w:rPr>
              <w:t xml:space="preserve"> C</w:t>
            </w:r>
            <w:r>
              <w:rPr>
                <w:rFonts w:eastAsia="Times New Roman"/>
                <w:szCs w:val="24"/>
              </w:rPr>
              <w:t xml:space="preserve">entral </w:t>
            </w:r>
            <w:r w:rsidR="00CA5629" w:rsidRPr="00CA5629">
              <w:rPr>
                <w:rFonts w:eastAsia="Times New Roman"/>
                <w:szCs w:val="24"/>
              </w:rPr>
              <w:t>V</w:t>
            </w:r>
            <w:r>
              <w:rPr>
                <w:rFonts w:eastAsia="Times New Roman"/>
                <w:szCs w:val="24"/>
              </w:rPr>
              <w:t xml:space="preserve">enous </w:t>
            </w:r>
            <w:r w:rsidR="00CA5629" w:rsidRPr="00CA5629">
              <w:rPr>
                <w:rFonts w:eastAsia="Times New Roman"/>
                <w:szCs w:val="24"/>
              </w:rPr>
              <w:t>C</w:t>
            </w:r>
            <w:r>
              <w:rPr>
                <w:rFonts w:eastAsia="Times New Roman"/>
                <w:szCs w:val="24"/>
              </w:rPr>
              <w:t>atheter,</w:t>
            </w:r>
            <w:r>
              <w:t xml:space="preserve"> </w:t>
            </w:r>
            <w:r w:rsidRPr="0048284B">
              <w:rPr>
                <w:rFonts w:eastAsia="Times New Roman"/>
                <w:szCs w:val="24"/>
              </w:rPr>
              <w:t>Insertion and Management of in Adults and Children</w:t>
            </w:r>
            <w:r>
              <w:rPr>
                <w:rFonts w:eastAsia="Times New Roman"/>
                <w:szCs w:val="24"/>
              </w:rPr>
              <w:t xml:space="preserve"> </w:t>
            </w:r>
            <w:r w:rsidR="00CA5629" w:rsidRPr="00CA5629">
              <w:rPr>
                <w:rFonts w:eastAsia="Times New Roman"/>
                <w:szCs w:val="24"/>
              </w:rPr>
              <w:t xml:space="preserve">  guidelines</w:t>
            </w:r>
            <w:r>
              <w:rPr>
                <w:rFonts w:eastAsia="Times New Roman"/>
                <w:szCs w:val="24"/>
              </w:rPr>
              <w:t>.</w:t>
            </w:r>
          </w:p>
          <w:p w14:paraId="285DFA6D" w14:textId="77777777" w:rsidR="00CA5629" w:rsidRPr="00CA5629" w:rsidRDefault="00CA5629" w:rsidP="00684A8E">
            <w:pPr>
              <w:rPr>
                <w:rFonts w:eastAsia="Times New Roman"/>
                <w:szCs w:val="24"/>
              </w:rPr>
            </w:pPr>
          </w:p>
          <w:p w14:paraId="385CF9A5" w14:textId="77777777" w:rsidR="00CA5629" w:rsidRPr="00CA5629" w:rsidRDefault="00CA5629" w:rsidP="00684A8E">
            <w:pPr>
              <w:rPr>
                <w:rFonts w:eastAsia="Times New Roman"/>
                <w:szCs w:val="24"/>
              </w:rPr>
            </w:pPr>
          </w:p>
          <w:p w14:paraId="61E204CF" w14:textId="77777777" w:rsidR="00CA5629" w:rsidRPr="00CA5629" w:rsidRDefault="00CA5629" w:rsidP="00684A8E">
            <w:pPr>
              <w:rPr>
                <w:rFonts w:eastAsia="Times New Roman"/>
                <w:szCs w:val="24"/>
              </w:rPr>
            </w:pPr>
            <w:r w:rsidRPr="00CA5629">
              <w:rPr>
                <w:rFonts w:eastAsia="Times New Roman"/>
                <w:szCs w:val="24"/>
              </w:rPr>
              <w:lastRenderedPageBreak/>
              <w:t xml:space="preserve">Perfect Ward metrics  </w:t>
            </w:r>
          </w:p>
        </w:tc>
        <w:tc>
          <w:tcPr>
            <w:tcW w:w="1777" w:type="dxa"/>
          </w:tcPr>
          <w:p w14:paraId="36DF592F" w14:textId="77777777" w:rsidR="00CA5629" w:rsidRPr="00CA5629" w:rsidRDefault="00CA5629" w:rsidP="00684A8E">
            <w:pPr>
              <w:rPr>
                <w:rFonts w:eastAsia="Times New Roman"/>
                <w:szCs w:val="24"/>
              </w:rPr>
            </w:pPr>
            <w:r w:rsidRPr="00CA5629">
              <w:rPr>
                <w:rFonts w:eastAsia="Times New Roman"/>
                <w:szCs w:val="24"/>
              </w:rPr>
              <w:lastRenderedPageBreak/>
              <w:t>Through twice yearly invasive devices audits</w:t>
            </w:r>
          </w:p>
          <w:p w14:paraId="316D2DB3" w14:textId="77777777" w:rsidR="00CA5629" w:rsidRPr="00CA5629" w:rsidRDefault="00CA5629" w:rsidP="00684A8E">
            <w:pPr>
              <w:rPr>
                <w:rFonts w:eastAsia="Times New Roman"/>
                <w:szCs w:val="24"/>
              </w:rPr>
            </w:pPr>
          </w:p>
          <w:p w14:paraId="447F0CC3" w14:textId="77777777" w:rsidR="00CA5629" w:rsidRPr="00CA5629" w:rsidRDefault="00CA5629" w:rsidP="00684A8E">
            <w:pPr>
              <w:rPr>
                <w:rFonts w:eastAsia="Times New Roman"/>
                <w:szCs w:val="24"/>
              </w:rPr>
            </w:pPr>
          </w:p>
          <w:p w14:paraId="59195B6C" w14:textId="77777777" w:rsidR="00CA5629" w:rsidRPr="00CA5629" w:rsidRDefault="00CA5629" w:rsidP="00684A8E">
            <w:pPr>
              <w:rPr>
                <w:rFonts w:eastAsia="Times New Roman"/>
                <w:szCs w:val="24"/>
              </w:rPr>
            </w:pPr>
          </w:p>
          <w:p w14:paraId="3CD51C1F" w14:textId="77777777" w:rsidR="00CA5629" w:rsidRPr="00CA5629" w:rsidRDefault="00CA5629" w:rsidP="00684A8E">
            <w:pPr>
              <w:rPr>
                <w:rFonts w:eastAsia="Times New Roman"/>
                <w:szCs w:val="24"/>
              </w:rPr>
            </w:pPr>
            <w:r w:rsidRPr="00CA5629">
              <w:rPr>
                <w:rFonts w:eastAsia="Times New Roman"/>
                <w:szCs w:val="24"/>
              </w:rPr>
              <w:t xml:space="preserve">Monthly auditing perfect ward data </w:t>
            </w:r>
          </w:p>
          <w:p w14:paraId="56A49B97" w14:textId="77777777" w:rsidR="00CA5629" w:rsidRPr="00CA5629" w:rsidRDefault="00CA5629" w:rsidP="00684A8E">
            <w:pPr>
              <w:rPr>
                <w:rFonts w:eastAsia="Times New Roman"/>
                <w:szCs w:val="24"/>
              </w:rPr>
            </w:pPr>
          </w:p>
        </w:tc>
        <w:tc>
          <w:tcPr>
            <w:tcW w:w="1780" w:type="dxa"/>
          </w:tcPr>
          <w:p w14:paraId="03F1D0E4" w14:textId="77777777" w:rsidR="00CA5629" w:rsidRPr="00CA5629" w:rsidRDefault="00CA5629" w:rsidP="00684A8E">
            <w:pPr>
              <w:rPr>
                <w:rFonts w:eastAsia="Times New Roman"/>
                <w:szCs w:val="24"/>
              </w:rPr>
            </w:pPr>
            <w:r w:rsidRPr="00CA5629">
              <w:rPr>
                <w:rFonts w:eastAsia="Times New Roman"/>
                <w:szCs w:val="24"/>
              </w:rPr>
              <w:t>Clinical Directors and CSU Managers will monitor the audit results through the clinical governance structure</w:t>
            </w:r>
          </w:p>
        </w:tc>
        <w:tc>
          <w:tcPr>
            <w:tcW w:w="1770" w:type="dxa"/>
          </w:tcPr>
          <w:p w14:paraId="6EE776EB" w14:textId="77777777" w:rsidR="00CA5629" w:rsidRPr="00CA5629" w:rsidRDefault="00CA5629" w:rsidP="00684A8E">
            <w:pPr>
              <w:rPr>
                <w:rFonts w:eastAsia="Times New Roman"/>
                <w:szCs w:val="24"/>
              </w:rPr>
            </w:pPr>
            <w:r w:rsidRPr="00CA5629">
              <w:rPr>
                <w:rFonts w:eastAsia="Times New Roman"/>
                <w:szCs w:val="24"/>
              </w:rPr>
              <w:t xml:space="preserve"> </w:t>
            </w:r>
            <w:r w:rsidR="0048284B" w:rsidRPr="00CA5629">
              <w:rPr>
                <w:rFonts w:eastAsia="Times New Roman"/>
                <w:szCs w:val="24"/>
              </w:rPr>
              <w:t>Biannual</w:t>
            </w:r>
            <w:r w:rsidRPr="00CA5629">
              <w:rPr>
                <w:rFonts w:eastAsia="Times New Roman"/>
                <w:szCs w:val="24"/>
              </w:rPr>
              <w:t xml:space="preserve"> report </w:t>
            </w:r>
          </w:p>
          <w:p w14:paraId="40CA0923" w14:textId="77777777" w:rsidR="00CA5629" w:rsidRPr="00CA5629" w:rsidRDefault="00CA5629" w:rsidP="00684A8E">
            <w:pPr>
              <w:rPr>
                <w:rFonts w:eastAsia="Times New Roman"/>
                <w:szCs w:val="24"/>
              </w:rPr>
            </w:pPr>
          </w:p>
          <w:p w14:paraId="21CD4F9F" w14:textId="77777777" w:rsidR="00CA5629" w:rsidRPr="00CA5629" w:rsidRDefault="00CA5629" w:rsidP="00684A8E">
            <w:pPr>
              <w:rPr>
                <w:rFonts w:eastAsia="Times New Roman"/>
                <w:szCs w:val="24"/>
              </w:rPr>
            </w:pPr>
          </w:p>
          <w:p w14:paraId="5C743A50" w14:textId="77777777" w:rsidR="00CA5629" w:rsidRPr="00CA5629" w:rsidRDefault="00CA5629" w:rsidP="00684A8E">
            <w:pPr>
              <w:rPr>
                <w:rFonts w:eastAsia="Times New Roman"/>
                <w:szCs w:val="24"/>
              </w:rPr>
            </w:pPr>
          </w:p>
          <w:p w14:paraId="71EDE7B3" w14:textId="77777777" w:rsidR="00CA5629" w:rsidRPr="00CA5629" w:rsidRDefault="00CA5629" w:rsidP="00684A8E">
            <w:pPr>
              <w:rPr>
                <w:rFonts w:eastAsia="Times New Roman"/>
                <w:szCs w:val="24"/>
              </w:rPr>
            </w:pPr>
          </w:p>
          <w:p w14:paraId="4EDEB9A9" w14:textId="77777777" w:rsidR="00CA5629" w:rsidRPr="00CA5629" w:rsidRDefault="00CA5629" w:rsidP="00684A8E">
            <w:pPr>
              <w:rPr>
                <w:rFonts w:eastAsia="Times New Roman"/>
                <w:szCs w:val="24"/>
              </w:rPr>
            </w:pPr>
            <w:r w:rsidRPr="00CA5629">
              <w:rPr>
                <w:rFonts w:eastAsia="Times New Roman"/>
                <w:szCs w:val="24"/>
              </w:rPr>
              <w:t xml:space="preserve">monitoring monthly of data from Perfect ward </w:t>
            </w:r>
          </w:p>
          <w:p w14:paraId="51855725" w14:textId="77777777" w:rsidR="00CA5629" w:rsidRPr="00CA5629" w:rsidRDefault="00CA5629" w:rsidP="00684A8E">
            <w:pPr>
              <w:rPr>
                <w:rFonts w:eastAsia="Times New Roman"/>
                <w:szCs w:val="24"/>
              </w:rPr>
            </w:pPr>
          </w:p>
        </w:tc>
        <w:tc>
          <w:tcPr>
            <w:tcW w:w="2166" w:type="dxa"/>
          </w:tcPr>
          <w:p w14:paraId="036CFC9D" w14:textId="77777777" w:rsidR="00CA5629" w:rsidRPr="00CA5629" w:rsidRDefault="00CA5629" w:rsidP="00684A8E">
            <w:pPr>
              <w:rPr>
                <w:rFonts w:eastAsia="Times New Roman"/>
                <w:szCs w:val="24"/>
              </w:rPr>
            </w:pPr>
            <w:r w:rsidRPr="00CA5629">
              <w:rPr>
                <w:rFonts w:eastAsia="Times New Roman"/>
                <w:szCs w:val="24"/>
              </w:rPr>
              <w:t xml:space="preserve">Each clinical area will develop a local action plan where compliance </w:t>
            </w:r>
          </w:p>
        </w:tc>
        <w:tc>
          <w:tcPr>
            <w:tcW w:w="2749" w:type="dxa"/>
          </w:tcPr>
          <w:p w14:paraId="0723C22B" w14:textId="77777777" w:rsidR="00CA5629" w:rsidRPr="00CA5629" w:rsidRDefault="00CA5629" w:rsidP="00684A8E">
            <w:pPr>
              <w:rPr>
                <w:rFonts w:eastAsia="Times New Roman"/>
                <w:szCs w:val="24"/>
              </w:rPr>
            </w:pPr>
            <w:r w:rsidRPr="00CA5629">
              <w:rPr>
                <w:rFonts w:eastAsia="Times New Roman"/>
                <w:szCs w:val="24"/>
              </w:rPr>
              <w:t xml:space="preserve">CSU Infection Prevention/Governance Meetings will ensure action plans are fully implemented and follow up on action plan implementation quarterly </w:t>
            </w:r>
          </w:p>
          <w:p w14:paraId="01DCA8C4" w14:textId="77777777" w:rsidR="00CA5629" w:rsidRPr="00CA5629" w:rsidRDefault="00CA5629" w:rsidP="00684A8E">
            <w:pPr>
              <w:rPr>
                <w:rFonts w:eastAsia="Times New Roman"/>
                <w:szCs w:val="24"/>
              </w:rPr>
            </w:pPr>
            <w:r w:rsidRPr="00CA5629">
              <w:rPr>
                <w:rFonts w:eastAsia="Times New Roman"/>
                <w:szCs w:val="24"/>
              </w:rPr>
              <w:t xml:space="preserve">Any outstanding risks associated with mandatory training </w:t>
            </w:r>
            <w:r w:rsidR="0005562C" w:rsidRPr="00CA5629">
              <w:rPr>
                <w:rFonts w:eastAsia="Times New Roman"/>
                <w:szCs w:val="24"/>
              </w:rPr>
              <w:t>compliance should</w:t>
            </w:r>
            <w:r w:rsidRPr="00CA5629">
              <w:rPr>
                <w:rFonts w:eastAsia="Times New Roman"/>
                <w:szCs w:val="24"/>
              </w:rPr>
              <w:t xml:space="preserve"> be added to the CSU Assurance Framework (BAF) and fed into the Infection Prevention and Control Sub Committee</w:t>
            </w:r>
          </w:p>
          <w:p w14:paraId="09432313" w14:textId="77777777" w:rsidR="00CA5629" w:rsidRPr="00CA5629" w:rsidRDefault="00CA5629" w:rsidP="00684A8E">
            <w:pPr>
              <w:rPr>
                <w:rFonts w:eastAsia="Times New Roman"/>
                <w:szCs w:val="24"/>
              </w:rPr>
            </w:pPr>
          </w:p>
        </w:tc>
      </w:tr>
    </w:tbl>
    <w:p w14:paraId="32D7603D" w14:textId="77777777" w:rsidR="007B1052" w:rsidRPr="00CF30E3" w:rsidRDefault="007B1052" w:rsidP="007B1052">
      <w:pPr>
        <w:spacing w:before="200" w:after="200"/>
        <w:ind w:left="720"/>
        <w:rPr>
          <w:rFonts w:eastAsia="Times New Roman"/>
          <w:bCs/>
          <w:color w:val="3366FF"/>
          <w:szCs w:val="24"/>
          <w:lang w:eastAsia="en-GB"/>
        </w:rPr>
        <w:sectPr w:rsidR="007B1052" w:rsidRPr="00CF30E3" w:rsidSect="00684A8E">
          <w:pgSz w:w="16838" w:h="11906" w:orient="landscape" w:code="9"/>
          <w:pgMar w:top="1304" w:right="1021" w:bottom="1304" w:left="794" w:header="357" w:footer="709" w:gutter="0"/>
          <w:cols w:space="708"/>
          <w:docGrid w:linePitch="360"/>
        </w:sectPr>
      </w:pPr>
    </w:p>
    <w:p w14:paraId="0B93E426" w14:textId="77777777" w:rsidR="007B1052" w:rsidRPr="00CF30E3" w:rsidRDefault="007B1052" w:rsidP="007B1052">
      <w:pPr>
        <w:spacing w:before="200" w:after="200"/>
        <w:ind w:left="720"/>
        <w:rPr>
          <w:rFonts w:eastAsia="Times New Roman"/>
          <w:bCs/>
          <w:color w:val="3366FF"/>
          <w:szCs w:val="24"/>
          <w:lang w:eastAsia="en-GB"/>
        </w:rPr>
      </w:pPr>
    </w:p>
    <w:p w14:paraId="43A42D11" w14:textId="77777777" w:rsidR="00CE1017" w:rsidRPr="00CF30E3" w:rsidRDefault="003261AF" w:rsidP="00CE1017">
      <w:pPr>
        <w:spacing w:before="200" w:after="200"/>
        <w:rPr>
          <w:rFonts w:eastAsia="Times New Roman"/>
          <w:b/>
          <w:bCs/>
          <w:color w:val="3E80C4"/>
          <w:sz w:val="40"/>
          <w:szCs w:val="34"/>
          <w:lang w:val="en-US" w:eastAsia="en-GB"/>
        </w:rPr>
      </w:pPr>
      <w:r>
        <w:rPr>
          <w:rFonts w:eastAsia="Times New Roman"/>
          <w:b/>
          <w:color w:val="3E80C4"/>
          <w:sz w:val="40"/>
          <w:szCs w:val="34"/>
          <w:lang w:val="en-US" w:eastAsia="en-GB"/>
        </w:rPr>
        <w:t>9</w:t>
      </w:r>
      <w:r w:rsidR="00CE1017" w:rsidRPr="00CF30E3">
        <w:rPr>
          <w:rFonts w:eastAsia="Times New Roman"/>
          <w:b/>
          <w:color w:val="3E80C4"/>
          <w:sz w:val="40"/>
          <w:szCs w:val="34"/>
          <w:lang w:val="en-US" w:eastAsia="en-GB"/>
        </w:rPr>
        <w:tab/>
        <w:t>Plan for Communication and Dissemination of Policy</w:t>
      </w:r>
    </w:p>
    <w:p w14:paraId="0C61C5E9" w14:textId="77777777" w:rsidR="00653E9F" w:rsidRPr="005F40AD" w:rsidRDefault="00653E9F" w:rsidP="00653E9F">
      <w:pPr>
        <w:rPr>
          <w:bCs/>
        </w:rPr>
      </w:pPr>
      <w:r w:rsidRPr="005F40AD">
        <w:t xml:space="preserve">The approved policy is communicated electronically within a one week period to CSU cascade systems and to all LTHT employees on the Trust email system.  </w:t>
      </w:r>
    </w:p>
    <w:p w14:paraId="1DF2423B" w14:textId="77777777" w:rsidR="007A2104" w:rsidRDefault="00653E9F" w:rsidP="00653E9F">
      <w:pPr>
        <w:rPr>
          <w:bCs/>
        </w:rPr>
      </w:pPr>
      <w:r w:rsidRPr="005F40AD">
        <w:t xml:space="preserve">The new/revised policy is placed on the </w:t>
      </w:r>
      <w:r>
        <w:t>i</w:t>
      </w:r>
      <w:r w:rsidRPr="005F40AD">
        <w:t xml:space="preserve">nfection </w:t>
      </w:r>
      <w:r>
        <w:t>c</w:t>
      </w:r>
      <w:r w:rsidRPr="005F40AD">
        <w:t>ontrol pages of the Trust</w:t>
      </w:r>
      <w:r w:rsidRPr="005F40AD">
        <w:rPr>
          <w:color w:val="0000FF"/>
        </w:rPr>
        <w:t xml:space="preserve"> </w:t>
      </w:r>
      <w:r w:rsidRPr="005F40AD">
        <w:t>intranet and is also available on the Leeds Health Pathways Clinical Guidelines site.</w:t>
      </w:r>
    </w:p>
    <w:p w14:paraId="71E388F4" w14:textId="77777777" w:rsidR="007A2104" w:rsidRPr="00CF30E3" w:rsidRDefault="007A2104" w:rsidP="00522685">
      <w:pPr>
        <w:rPr>
          <w:rFonts w:eastAsia="Times New Roman"/>
          <w:b/>
          <w:bCs/>
          <w:color w:val="3E80C4"/>
          <w:sz w:val="40"/>
          <w:szCs w:val="34"/>
          <w:lang w:val="en-US" w:eastAsia="en-GB"/>
        </w:rPr>
      </w:pPr>
    </w:p>
    <w:p w14:paraId="4109E955" w14:textId="77777777" w:rsidR="007B1052" w:rsidRPr="00CF30E3" w:rsidRDefault="00CE1017" w:rsidP="007B1052">
      <w:pPr>
        <w:spacing w:before="200" w:after="200"/>
        <w:rPr>
          <w:rFonts w:eastAsia="Times New Roman"/>
          <w:b/>
          <w:bCs/>
          <w:color w:val="3E80C4"/>
          <w:sz w:val="40"/>
          <w:szCs w:val="34"/>
          <w:lang w:val="en-US" w:eastAsia="en-GB"/>
        </w:rPr>
      </w:pPr>
      <w:r w:rsidRPr="00CF30E3">
        <w:rPr>
          <w:rFonts w:eastAsia="Times New Roman"/>
          <w:b/>
          <w:color w:val="3E80C4"/>
          <w:sz w:val="40"/>
          <w:szCs w:val="34"/>
          <w:lang w:val="en-US" w:eastAsia="en-GB"/>
        </w:rPr>
        <w:t>1</w:t>
      </w:r>
      <w:r w:rsidR="003261AF">
        <w:rPr>
          <w:rFonts w:eastAsia="Times New Roman"/>
          <w:b/>
          <w:color w:val="3E80C4"/>
          <w:sz w:val="40"/>
          <w:szCs w:val="34"/>
          <w:lang w:val="en-US" w:eastAsia="en-GB"/>
        </w:rPr>
        <w:t>0</w:t>
      </w:r>
      <w:r w:rsidR="007B1052" w:rsidRPr="00CF30E3">
        <w:rPr>
          <w:rFonts w:eastAsia="Times New Roman"/>
          <w:b/>
          <w:color w:val="3E80C4"/>
          <w:sz w:val="40"/>
          <w:szCs w:val="34"/>
          <w:lang w:val="en-US" w:eastAsia="en-GB"/>
        </w:rPr>
        <w:tab/>
      </w:r>
      <w:r w:rsidRPr="00CF30E3">
        <w:rPr>
          <w:rFonts w:eastAsia="Times New Roman"/>
          <w:b/>
          <w:color w:val="3E80C4"/>
          <w:sz w:val="40"/>
          <w:szCs w:val="34"/>
          <w:lang w:val="en-US" w:eastAsia="en-GB"/>
        </w:rPr>
        <w:t>References / Associated Documentation</w:t>
      </w:r>
    </w:p>
    <w:p w14:paraId="344942E9" w14:textId="77777777" w:rsidR="00653E9F" w:rsidRPr="00653E9F" w:rsidRDefault="00653E9F" w:rsidP="00653E9F">
      <w:pPr>
        <w:spacing w:before="200" w:after="200"/>
        <w:outlineLvl w:val="0"/>
        <w:rPr>
          <w:rFonts w:eastAsia="Times New Roman"/>
          <w:bCs/>
          <w:szCs w:val="24"/>
          <w:lang w:eastAsia="en-GB"/>
        </w:rPr>
      </w:pPr>
      <w:r w:rsidRPr="00653E9F">
        <w:rPr>
          <w:rFonts w:eastAsia="Times New Roman"/>
          <w:szCs w:val="24"/>
          <w:lang w:eastAsia="en-GB"/>
        </w:rPr>
        <w:t>Department of Health 20</w:t>
      </w:r>
      <w:r w:rsidR="004166D6">
        <w:rPr>
          <w:rFonts w:eastAsia="Times New Roman"/>
          <w:szCs w:val="24"/>
          <w:lang w:eastAsia="en-GB"/>
        </w:rPr>
        <w:t>22</w:t>
      </w:r>
      <w:r w:rsidRPr="00653E9F">
        <w:rPr>
          <w:rFonts w:eastAsia="Times New Roman"/>
          <w:szCs w:val="24"/>
          <w:lang w:eastAsia="en-GB"/>
        </w:rPr>
        <w:t>. The Health and Social Care Act 2008. Code of Practice on the Prevention and Control of  Infections and related guidance.</w:t>
      </w:r>
    </w:p>
    <w:p w14:paraId="7998C719" w14:textId="77777777" w:rsidR="00653E9F" w:rsidRPr="00653E9F" w:rsidRDefault="00653E9F" w:rsidP="00653E9F">
      <w:pPr>
        <w:spacing w:before="200" w:after="200"/>
        <w:outlineLvl w:val="0"/>
        <w:rPr>
          <w:rFonts w:eastAsia="Times New Roman"/>
          <w:bCs/>
          <w:szCs w:val="24"/>
          <w:lang w:eastAsia="en-GB"/>
        </w:rPr>
      </w:pPr>
      <w:r w:rsidRPr="00653E9F">
        <w:rPr>
          <w:rFonts w:eastAsia="Times New Roman"/>
          <w:szCs w:val="24"/>
          <w:lang w:eastAsia="en-GB"/>
        </w:rPr>
        <w:t>Public Health England (2019): Mandatory Healthcare Associated Infection surveillance Data Quality Statement.</w:t>
      </w:r>
    </w:p>
    <w:p w14:paraId="751AFDD8" w14:textId="77777777" w:rsidR="00413865" w:rsidRPr="00413865" w:rsidRDefault="00413865" w:rsidP="00413865">
      <w:pPr>
        <w:spacing w:before="200" w:after="200"/>
        <w:outlineLvl w:val="0"/>
        <w:rPr>
          <w:rFonts w:eastAsia="Times New Roman"/>
          <w:bCs/>
          <w:szCs w:val="24"/>
          <w:lang w:eastAsia="en-GB"/>
        </w:rPr>
      </w:pPr>
      <w:r w:rsidRPr="00413865">
        <w:rPr>
          <w:rFonts w:eastAsia="Times New Roman"/>
          <w:szCs w:val="24"/>
          <w:lang w:eastAsia="en-GB"/>
        </w:rPr>
        <w:t>Tackling antimicrobial resistance 2019 to 2024: addendum to the UK's 5-year national action plan</w:t>
      </w:r>
      <w:r>
        <w:rPr>
          <w:rFonts w:eastAsia="Times New Roman"/>
          <w:szCs w:val="24"/>
          <w:lang w:eastAsia="en-GB"/>
        </w:rPr>
        <w:t xml:space="preserve">. </w:t>
      </w:r>
      <w:r w:rsidRPr="00413865">
        <w:rPr>
          <w:rFonts w:eastAsia="Times New Roman"/>
          <w:szCs w:val="24"/>
          <w:lang w:eastAsia="en-GB"/>
        </w:rPr>
        <w:t>Published 16 May 2022</w:t>
      </w:r>
    </w:p>
    <w:p w14:paraId="278939BC" w14:textId="77777777" w:rsidR="00653E9F" w:rsidRPr="00653E9F" w:rsidRDefault="00653E9F" w:rsidP="00653E9F">
      <w:pPr>
        <w:spacing w:before="200" w:after="200"/>
        <w:outlineLvl w:val="0"/>
        <w:rPr>
          <w:rFonts w:eastAsia="Times New Roman"/>
          <w:bCs/>
          <w:szCs w:val="24"/>
          <w:lang w:eastAsia="en-GB"/>
        </w:rPr>
      </w:pPr>
      <w:r w:rsidRPr="00653E9F">
        <w:rPr>
          <w:rFonts w:eastAsia="Times New Roman"/>
          <w:szCs w:val="24"/>
          <w:lang w:eastAsia="en-GB"/>
        </w:rPr>
        <w:t>HM Government (2019):Tackling antimicrobial resistance 2019-2024: The UK’s 5-year National Action Plan.</w:t>
      </w:r>
    </w:p>
    <w:p w14:paraId="5678BB49" w14:textId="77777777" w:rsidR="00413865" w:rsidRDefault="00413865" w:rsidP="00413865">
      <w:pPr>
        <w:spacing w:before="200" w:after="200"/>
        <w:outlineLvl w:val="0"/>
        <w:rPr>
          <w:rFonts w:eastAsia="Times New Roman"/>
          <w:bCs/>
          <w:szCs w:val="24"/>
          <w:lang w:eastAsia="en-GB"/>
        </w:rPr>
      </w:pPr>
      <w:r>
        <w:rPr>
          <w:rFonts w:eastAsia="Times New Roman"/>
          <w:szCs w:val="24"/>
          <w:lang w:eastAsia="en-GB"/>
        </w:rPr>
        <w:t xml:space="preserve">United Kingdom Health Security Agency ( UKHSA) (2022) </w:t>
      </w:r>
      <w:r w:rsidRPr="00413865">
        <w:rPr>
          <w:rFonts w:eastAsia="Times New Roman"/>
          <w:szCs w:val="24"/>
          <w:lang w:eastAsia="en-GB"/>
        </w:rPr>
        <w:t>Annual epidemiological commentary: Gram-negative, MRSA, MSSA bacteraemia and C. difficile infections, up to and including financial year 2021 to 2022</w:t>
      </w:r>
      <w:r>
        <w:rPr>
          <w:rFonts w:eastAsia="Times New Roman"/>
          <w:szCs w:val="24"/>
          <w:lang w:eastAsia="en-GB"/>
        </w:rPr>
        <w:t xml:space="preserve">. </w:t>
      </w:r>
      <w:r w:rsidRPr="00413865">
        <w:rPr>
          <w:rFonts w:eastAsia="Times New Roman"/>
          <w:szCs w:val="24"/>
          <w:lang w:eastAsia="en-GB"/>
        </w:rPr>
        <w:t>Updated 29 September 2022</w:t>
      </w:r>
    </w:p>
    <w:p w14:paraId="70B5BF20" w14:textId="77777777" w:rsidR="00413865" w:rsidRDefault="00413865" w:rsidP="00413865">
      <w:pPr>
        <w:spacing w:before="200" w:after="200"/>
        <w:outlineLvl w:val="0"/>
        <w:rPr>
          <w:rFonts w:eastAsia="Times New Roman"/>
          <w:bCs/>
          <w:szCs w:val="24"/>
          <w:lang w:eastAsia="en-GB"/>
        </w:rPr>
      </w:pPr>
    </w:p>
    <w:p w14:paraId="07722624" w14:textId="77777777" w:rsidR="00413865" w:rsidRPr="00CF30E3" w:rsidRDefault="00413865" w:rsidP="00413865">
      <w:pPr>
        <w:spacing w:before="200" w:after="200"/>
        <w:outlineLvl w:val="0"/>
        <w:rPr>
          <w:rFonts w:eastAsia="Times New Roman"/>
          <w:b/>
          <w:bCs/>
          <w:sz w:val="22"/>
          <w:szCs w:val="24"/>
          <w:lang w:eastAsia="en-GB"/>
        </w:rPr>
        <w:sectPr w:rsidR="00413865" w:rsidRPr="00CF30E3" w:rsidSect="00684A8E">
          <w:pgSz w:w="11906" w:h="16838" w:code="9"/>
          <w:pgMar w:top="1021" w:right="1304" w:bottom="794" w:left="1304" w:header="357" w:footer="709" w:gutter="0"/>
          <w:cols w:space="708"/>
          <w:docGrid w:linePitch="360"/>
        </w:sectPr>
      </w:pPr>
    </w:p>
    <w:p w14:paraId="412DDBC4" w14:textId="77777777" w:rsidR="0052299F" w:rsidRDefault="0052299F" w:rsidP="0052299F">
      <w:pPr>
        <w:pStyle w:val="Heading1"/>
        <w:rPr>
          <w:rFonts w:ascii="Arial" w:hAnsi="Arial" w:cs="Arial"/>
          <w:sz w:val="24"/>
          <w:szCs w:val="24"/>
        </w:rPr>
      </w:pPr>
      <w:bookmarkStart w:id="14" w:name="_Toc64283161"/>
      <w:bookmarkStart w:id="15" w:name="_Toc64283163"/>
      <w:r>
        <w:rPr>
          <w:rFonts w:ascii="Arial" w:hAnsi="Arial" w:cs="Arial"/>
          <w:sz w:val="24"/>
          <w:szCs w:val="24"/>
        </w:rPr>
        <w:lastRenderedPageBreak/>
        <w:t xml:space="preserve">APPENDIX I - Terms of Reference (IPCSC </w:t>
      </w:r>
      <w:r w:rsidR="008554EC">
        <w:rPr>
          <w:rFonts w:ascii="Arial" w:hAnsi="Arial" w:cs="Arial"/>
          <w:sz w:val="24"/>
          <w:szCs w:val="24"/>
        </w:rPr>
        <w:t>,</w:t>
      </w:r>
      <w:r>
        <w:rPr>
          <w:rFonts w:ascii="Arial" w:hAnsi="Arial" w:cs="Arial"/>
          <w:sz w:val="24"/>
          <w:szCs w:val="24"/>
        </w:rPr>
        <w:t xml:space="preserve"> HCAI Group</w:t>
      </w:r>
      <w:r w:rsidR="005B5C67">
        <w:rPr>
          <w:rFonts w:ascii="Arial" w:hAnsi="Arial" w:cs="Arial"/>
          <w:sz w:val="24"/>
          <w:szCs w:val="24"/>
        </w:rPr>
        <w:t xml:space="preserve"> and </w:t>
      </w:r>
      <w:bookmarkEnd w:id="14"/>
      <w:r w:rsidR="000C4C45">
        <w:rPr>
          <w:rFonts w:ascii="Arial" w:hAnsi="Arial" w:cs="Arial"/>
          <w:sz w:val="24"/>
          <w:szCs w:val="24"/>
        </w:rPr>
        <w:t>OIPC)</w:t>
      </w:r>
    </w:p>
    <w:bookmarkStart w:id="16" w:name="_MON_1806382143"/>
    <w:bookmarkEnd w:id="16"/>
    <w:p w14:paraId="1754B9E2" w14:textId="77777777" w:rsidR="0052299F" w:rsidRDefault="00F37526" w:rsidP="0052299F">
      <w:pPr>
        <w:pStyle w:val="Heading1"/>
        <w:rPr>
          <w:rFonts w:ascii="Arial" w:hAnsi="Arial" w:cs="Arial"/>
          <w:sz w:val="24"/>
          <w:szCs w:val="24"/>
        </w:rPr>
      </w:pPr>
      <w:r>
        <w:rPr>
          <w:rFonts w:ascii="Arial" w:hAnsi="Arial" w:cs="Arial"/>
          <w:sz w:val="24"/>
          <w:szCs w:val="24"/>
        </w:rPr>
        <w:object w:dxaOrig="1539" w:dyaOrig="997" w14:anchorId="20ABD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Word.Document.12" ShapeID="_x0000_i1025" DrawAspect="Icon" ObjectID="_1830411584" r:id="rId16">
            <o:FieldCodes>\s</o:FieldCodes>
          </o:OLEObject>
        </w:object>
      </w:r>
    </w:p>
    <w:p w14:paraId="286BD81D" w14:textId="77777777" w:rsidR="00F37526" w:rsidRDefault="00F37526" w:rsidP="00F37526"/>
    <w:bookmarkStart w:id="17" w:name="_MON_1806382231"/>
    <w:bookmarkEnd w:id="17"/>
    <w:p w14:paraId="4C4E8F2D" w14:textId="77777777" w:rsidR="00F37526" w:rsidRDefault="00F37526" w:rsidP="00F37526">
      <w:r>
        <w:object w:dxaOrig="1539" w:dyaOrig="997" w14:anchorId="7B671046">
          <v:shape id="_x0000_i1026" type="#_x0000_t75" style="width:77.25pt;height:49.5pt" o:ole="">
            <v:imagedata r:id="rId17" o:title=""/>
          </v:shape>
          <o:OLEObject Type="Embed" ProgID="Word.Document.12" ShapeID="_x0000_i1026" DrawAspect="Icon" ObjectID="_1830411585" r:id="rId18">
            <o:FieldCodes>\s</o:FieldCodes>
          </o:OLEObject>
        </w:object>
      </w:r>
    </w:p>
    <w:p w14:paraId="7CD7857D" w14:textId="77777777" w:rsidR="00F37526" w:rsidRDefault="00F37526" w:rsidP="00F37526"/>
    <w:bookmarkStart w:id="18" w:name="_MON_1806382578"/>
    <w:bookmarkEnd w:id="18"/>
    <w:p w14:paraId="73290BEF" w14:textId="77777777" w:rsidR="00F37526" w:rsidRPr="00F37526" w:rsidRDefault="00F37526" w:rsidP="00F37526">
      <w:r>
        <w:object w:dxaOrig="1539" w:dyaOrig="997" w14:anchorId="3BE850DB">
          <v:shape id="_x0000_i1027" type="#_x0000_t75" style="width:77.25pt;height:49.5pt" o:ole="">
            <v:imagedata r:id="rId19" o:title=""/>
          </v:shape>
          <o:OLEObject Type="Embed" ProgID="Word.Document.12" ShapeID="_x0000_i1027" DrawAspect="Icon" ObjectID="_1830411586" r:id="rId20">
            <o:FieldCodes>\s</o:FieldCodes>
          </o:OLEObject>
        </w:object>
      </w:r>
    </w:p>
    <w:p w14:paraId="08BBD606" w14:textId="77777777" w:rsidR="0052299F" w:rsidRDefault="0052299F" w:rsidP="0052299F">
      <w:pPr>
        <w:pStyle w:val="Heading1"/>
        <w:rPr>
          <w:rFonts w:ascii="Arial" w:hAnsi="Arial" w:cs="Arial"/>
          <w:sz w:val="24"/>
          <w:szCs w:val="24"/>
        </w:rPr>
      </w:pPr>
    </w:p>
    <w:p w14:paraId="290E63F2" w14:textId="77777777" w:rsidR="0052299F" w:rsidRDefault="0052299F" w:rsidP="0052299F">
      <w:pPr>
        <w:pStyle w:val="Heading1"/>
        <w:rPr>
          <w:rFonts w:ascii="Arial" w:hAnsi="Arial" w:cs="Arial"/>
          <w:sz w:val="24"/>
          <w:szCs w:val="24"/>
        </w:rPr>
      </w:pPr>
    </w:p>
    <w:p w14:paraId="281D047F" w14:textId="77777777" w:rsidR="0052299F" w:rsidRDefault="0052299F" w:rsidP="0052299F">
      <w:pPr>
        <w:pStyle w:val="Heading1"/>
        <w:rPr>
          <w:rFonts w:ascii="Arial" w:hAnsi="Arial" w:cs="Arial"/>
          <w:sz w:val="24"/>
          <w:szCs w:val="24"/>
        </w:rPr>
      </w:pPr>
    </w:p>
    <w:p w14:paraId="7C423DD8" w14:textId="77777777" w:rsidR="0052299F" w:rsidRDefault="0052299F" w:rsidP="0052299F">
      <w:pPr>
        <w:pStyle w:val="Heading1"/>
        <w:rPr>
          <w:rFonts w:ascii="Arial" w:hAnsi="Arial" w:cs="Arial"/>
          <w:sz w:val="24"/>
          <w:szCs w:val="24"/>
        </w:rPr>
      </w:pPr>
    </w:p>
    <w:p w14:paraId="144B9323" w14:textId="77777777" w:rsidR="0052299F" w:rsidRDefault="0052299F" w:rsidP="0052299F">
      <w:pPr>
        <w:pStyle w:val="Heading1"/>
        <w:rPr>
          <w:rFonts w:ascii="Arial" w:hAnsi="Arial" w:cs="Arial"/>
          <w:sz w:val="24"/>
          <w:szCs w:val="24"/>
        </w:rPr>
      </w:pPr>
    </w:p>
    <w:p w14:paraId="32586F5F" w14:textId="77777777" w:rsidR="0052299F" w:rsidRDefault="0052299F" w:rsidP="0052299F">
      <w:pPr>
        <w:pStyle w:val="Heading1"/>
        <w:rPr>
          <w:rFonts w:ascii="Arial" w:hAnsi="Arial" w:cs="Arial"/>
          <w:sz w:val="24"/>
          <w:szCs w:val="24"/>
        </w:rPr>
      </w:pPr>
    </w:p>
    <w:p w14:paraId="05B55832" w14:textId="77777777" w:rsidR="0052299F" w:rsidRDefault="0052299F" w:rsidP="0052299F">
      <w:pPr>
        <w:pStyle w:val="Heading1"/>
        <w:rPr>
          <w:rFonts w:ascii="Arial" w:hAnsi="Arial" w:cs="Arial"/>
          <w:sz w:val="24"/>
          <w:szCs w:val="24"/>
        </w:rPr>
      </w:pPr>
    </w:p>
    <w:p w14:paraId="190530FC" w14:textId="77777777" w:rsidR="0052299F" w:rsidRDefault="0052299F" w:rsidP="0052299F">
      <w:pPr>
        <w:pStyle w:val="Heading1"/>
        <w:rPr>
          <w:rFonts w:ascii="Arial" w:hAnsi="Arial" w:cs="Arial"/>
          <w:sz w:val="24"/>
          <w:szCs w:val="24"/>
        </w:rPr>
      </w:pPr>
    </w:p>
    <w:p w14:paraId="7734FD93" w14:textId="77777777" w:rsidR="0052299F" w:rsidRDefault="0052299F" w:rsidP="0052299F">
      <w:pPr>
        <w:pStyle w:val="Heading1"/>
        <w:rPr>
          <w:rFonts w:ascii="Arial" w:hAnsi="Arial" w:cs="Arial"/>
          <w:sz w:val="24"/>
          <w:szCs w:val="24"/>
        </w:rPr>
      </w:pPr>
    </w:p>
    <w:p w14:paraId="46F0DBED" w14:textId="77777777" w:rsidR="0052299F" w:rsidRDefault="0052299F" w:rsidP="0052299F">
      <w:pPr>
        <w:pStyle w:val="Heading1"/>
        <w:rPr>
          <w:rFonts w:ascii="Arial" w:hAnsi="Arial" w:cs="Arial"/>
          <w:sz w:val="24"/>
          <w:szCs w:val="24"/>
        </w:rPr>
      </w:pPr>
    </w:p>
    <w:p w14:paraId="2131DFC0" w14:textId="77777777" w:rsidR="0052299F" w:rsidRDefault="0052299F" w:rsidP="0052299F">
      <w:pPr>
        <w:pStyle w:val="Heading1"/>
        <w:rPr>
          <w:rFonts w:ascii="Arial" w:hAnsi="Arial" w:cs="Arial"/>
          <w:sz w:val="24"/>
          <w:szCs w:val="24"/>
        </w:rPr>
      </w:pPr>
    </w:p>
    <w:p w14:paraId="11619BA0" w14:textId="77777777" w:rsidR="0052299F" w:rsidRDefault="0052299F" w:rsidP="0052299F">
      <w:pPr>
        <w:pStyle w:val="Heading1"/>
        <w:rPr>
          <w:rFonts w:ascii="Arial" w:hAnsi="Arial" w:cs="Arial"/>
          <w:sz w:val="24"/>
          <w:szCs w:val="24"/>
        </w:rPr>
      </w:pPr>
    </w:p>
    <w:p w14:paraId="689BF88D" w14:textId="77777777" w:rsidR="0052299F" w:rsidRDefault="0052299F" w:rsidP="0052299F">
      <w:pPr>
        <w:pStyle w:val="Heading1"/>
        <w:rPr>
          <w:rFonts w:ascii="Arial" w:hAnsi="Arial" w:cs="Arial"/>
          <w:sz w:val="24"/>
          <w:szCs w:val="24"/>
        </w:rPr>
      </w:pPr>
    </w:p>
    <w:p w14:paraId="429B389A" w14:textId="77777777" w:rsidR="0052299F" w:rsidRDefault="0052299F" w:rsidP="0052299F">
      <w:pPr>
        <w:pStyle w:val="Heading1"/>
        <w:rPr>
          <w:rFonts w:ascii="Arial" w:hAnsi="Arial" w:cs="Arial"/>
          <w:sz w:val="24"/>
          <w:szCs w:val="24"/>
        </w:rPr>
      </w:pPr>
    </w:p>
    <w:p w14:paraId="57D73DB1" w14:textId="77777777" w:rsidR="0052299F" w:rsidRDefault="0052299F" w:rsidP="0052299F">
      <w:pPr>
        <w:pStyle w:val="Heading1"/>
        <w:rPr>
          <w:rFonts w:ascii="Arial" w:hAnsi="Arial" w:cs="Arial"/>
          <w:sz w:val="24"/>
          <w:szCs w:val="24"/>
        </w:rPr>
      </w:pPr>
    </w:p>
    <w:p w14:paraId="77668FA8" w14:textId="77777777" w:rsidR="0052299F" w:rsidRDefault="0052299F" w:rsidP="0052299F">
      <w:pPr>
        <w:pStyle w:val="Heading1"/>
        <w:rPr>
          <w:rFonts w:ascii="Arial" w:hAnsi="Arial" w:cs="Arial"/>
          <w:sz w:val="24"/>
          <w:szCs w:val="24"/>
        </w:rPr>
      </w:pPr>
    </w:p>
    <w:p w14:paraId="34A21080" w14:textId="77777777" w:rsidR="0052299F" w:rsidRDefault="0052299F" w:rsidP="0052299F">
      <w:pPr>
        <w:pStyle w:val="Heading1"/>
        <w:rPr>
          <w:rFonts w:ascii="Arial" w:hAnsi="Arial" w:cs="Arial"/>
          <w:sz w:val="24"/>
          <w:szCs w:val="24"/>
        </w:rPr>
      </w:pPr>
    </w:p>
    <w:p w14:paraId="485FCAB4" w14:textId="77777777" w:rsidR="0052299F" w:rsidRDefault="0052299F" w:rsidP="0052299F">
      <w:pPr>
        <w:pStyle w:val="Heading1"/>
        <w:rPr>
          <w:rFonts w:ascii="Arial" w:hAnsi="Arial" w:cs="Arial"/>
          <w:sz w:val="24"/>
          <w:szCs w:val="24"/>
        </w:rPr>
      </w:pPr>
    </w:p>
    <w:p w14:paraId="1DF02AD1" w14:textId="77777777" w:rsidR="0052299F" w:rsidRDefault="0052299F" w:rsidP="0052299F">
      <w:pPr>
        <w:pStyle w:val="Heading1"/>
        <w:rPr>
          <w:rFonts w:ascii="Arial" w:hAnsi="Arial" w:cs="Arial"/>
          <w:sz w:val="24"/>
          <w:szCs w:val="24"/>
        </w:rPr>
      </w:pPr>
    </w:p>
    <w:p w14:paraId="21A75C15" w14:textId="77777777" w:rsidR="0052299F" w:rsidRDefault="0052299F" w:rsidP="0052299F">
      <w:pPr>
        <w:pStyle w:val="Heading1"/>
        <w:rPr>
          <w:rFonts w:ascii="Arial" w:hAnsi="Arial" w:cs="Arial"/>
          <w:sz w:val="24"/>
          <w:szCs w:val="24"/>
        </w:rPr>
      </w:pPr>
    </w:p>
    <w:p w14:paraId="2C846866" w14:textId="77777777" w:rsidR="0052299F" w:rsidRDefault="0052299F" w:rsidP="0052299F">
      <w:pPr>
        <w:pStyle w:val="Heading1"/>
        <w:rPr>
          <w:rFonts w:ascii="Arial" w:hAnsi="Arial" w:cs="Arial"/>
          <w:sz w:val="24"/>
          <w:szCs w:val="24"/>
        </w:rPr>
      </w:pPr>
    </w:p>
    <w:p w14:paraId="6EA5D191" w14:textId="77777777" w:rsidR="0052299F" w:rsidRDefault="0052299F" w:rsidP="0052299F">
      <w:pPr>
        <w:pStyle w:val="Heading1"/>
        <w:rPr>
          <w:rFonts w:ascii="Arial" w:hAnsi="Arial" w:cs="Arial"/>
          <w:sz w:val="24"/>
          <w:szCs w:val="24"/>
        </w:rPr>
      </w:pPr>
    </w:p>
    <w:p w14:paraId="6A659093" w14:textId="77777777" w:rsidR="0052299F" w:rsidRDefault="0052299F" w:rsidP="0052299F">
      <w:pPr>
        <w:pStyle w:val="Heading1"/>
        <w:rPr>
          <w:rFonts w:ascii="Arial" w:hAnsi="Arial" w:cs="Arial"/>
          <w:sz w:val="24"/>
          <w:szCs w:val="24"/>
        </w:rPr>
      </w:pPr>
    </w:p>
    <w:p w14:paraId="55683CA1" w14:textId="77777777" w:rsidR="0052299F" w:rsidRDefault="0052299F" w:rsidP="0052299F">
      <w:pPr>
        <w:pStyle w:val="Heading1"/>
        <w:rPr>
          <w:rFonts w:ascii="Arial" w:hAnsi="Arial" w:cs="Arial"/>
          <w:sz w:val="24"/>
          <w:szCs w:val="24"/>
        </w:rPr>
      </w:pPr>
    </w:p>
    <w:p w14:paraId="1AEAD58A" w14:textId="77777777" w:rsidR="0052299F" w:rsidRDefault="0052299F" w:rsidP="0052299F">
      <w:pPr>
        <w:pStyle w:val="Heading1"/>
        <w:rPr>
          <w:rFonts w:ascii="Arial" w:hAnsi="Arial" w:cs="Arial"/>
          <w:sz w:val="24"/>
          <w:szCs w:val="24"/>
        </w:rPr>
      </w:pPr>
    </w:p>
    <w:p w14:paraId="3E0EDBEF" w14:textId="77777777" w:rsidR="0052299F" w:rsidRDefault="0052299F" w:rsidP="0052299F">
      <w:pPr>
        <w:pStyle w:val="Heading1"/>
        <w:rPr>
          <w:rFonts w:ascii="Arial" w:hAnsi="Arial" w:cs="Arial"/>
          <w:sz w:val="24"/>
          <w:szCs w:val="24"/>
        </w:rPr>
      </w:pPr>
      <w:r>
        <w:rPr>
          <w:rFonts w:ascii="Arial" w:hAnsi="Arial" w:cs="Arial"/>
          <w:sz w:val="24"/>
          <w:szCs w:val="24"/>
        </w:rPr>
        <w:t>APPENDIX II - Surveillance and Audit</w:t>
      </w:r>
      <w:bookmarkEnd w:id="15"/>
    </w:p>
    <w:p w14:paraId="5B1840A1" w14:textId="77777777" w:rsidR="0052299F" w:rsidRDefault="0052299F" w:rsidP="0052299F">
      <w:pPr>
        <w:numPr>
          <w:ilvl w:val="0"/>
          <w:numId w:val="16"/>
        </w:numPr>
        <w:spacing w:before="200"/>
        <w:rPr>
          <w:szCs w:val="24"/>
        </w:rPr>
      </w:pPr>
      <w:r>
        <w:t>Surveillance is the key component of an infection prevention and control programme.</w:t>
      </w:r>
    </w:p>
    <w:p w14:paraId="4C745467" w14:textId="77777777" w:rsidR="0052299F" w:rsidRDefault="0052299F" w:rsidP="0052299F">
      <w:pPr>
        <w:numPr>
          <w:ilvl w:val="0"/>
          <w:numId w:val="16"/>
        </w:numPr>
        <w:spacing w:before="200"/>
      </w:pPr>
      <w:r>
        <w:lastRenderedPageBreak/>
        <w:t>Surveillance consists of the routine collection of data on infections among patients and staff, its analysis and dissemination of results to those who need to know in order that appropriate action can be taken.</w:t>
      </w:r>
    </w:p>
    <w:p w14:paraId="25D6CD2F" w14:textId="77777777" w:rsidR="0052299F" w:rsidRDefault="0052299F" w:rsidP="0052299F">
      <w:pPr>
        <w:numPr>
          <w:ilvl w:val="0"/>
          <w:numId w:val="16"/>
        </w:numPr>
        <w:spacing w:before="200"/>
      </w:pPr>
      <w:r>
        <w:t>The aim of surveillance is to produce timely information on infection rates and trends, detect outbreaks, inform evaluations of and changes in clinical practice, and assist the targeting of preventative efforts.</w:t>
      </w:r>
    </w:p>
    <w:p w14:paraId="3C8A4EC7" w14:textId="77777777" w:rsidR="0052299F" w:rsidRDefault="0052299F" w:rsidP="0052299F">
      <w:pPr>
        <w:numPr>
          <w:ilvl w:val="0"/>
          <w:numId w:val="16"/>
        </w:numPr>
        <w:spacing w:before="200"/>
      </w:pPr>
      <w:r>
        <w:t>Surveillance data may be used within a framework of performance management in an attempt to assess the effectiveness of the IPCT.</w:t>
      </w:r>
    </w:p>
    <w:p w14:paraId="20FD05CE" w14:textId="77777777" w:rsidR="0053355E" w:rsidRDefault="0053355E" w:rsidP="00E859ED">
      <w:pPr>
        <w:spacing w:before="200"/>
        <w:ind w:left="360"/>
      </w:pPr>
    </w:p>
    <w:p w14:paraId="25D47DB0" w14:textId="77777777" w:rsidR="0052299F" w:rsidRDefault="0052299F" w:rsidP="0052299F">
      <w:pPr>
        <w:rPr>
          <w:b/>
        </w:rPr>
      </w:pPr>
      <w:r>
        <w:rPr>
          <w:b/>
        </w:rPr>
        <w:t>Types of surveillance:</w:t>
      </w:r>
    </w:p>
    <w:p w14:paraId="63E69836" w14:textId="77777777" w:rsidR="0053355E" w:rsidRDefault="0053355E" w:rsidP="0052299F">
      <w:pPr>
        <w:rPr>
          <w:b/>
        </w:rPr>
      </w:pPr>
    </w:p>
    <w:p w14:paraId="206A3034" w14:textId="77777777" w:rsidR="0052299F" w:rsidRDefault="0052299F" w:rsidP="0052299F">
      <w:pPr>
        <w:numPr>
          <w:ilvl w:val="0"/>
          <w:numId w:val="16"/>
        </w:numPr>
      </w:pPr>
      <w:r>
        <w:t>Alert organism surveillance whereby the IPCT are notified of laboratory reports identifying specific organisms with potential for cross-infection.</w:t>
      </w:r>
    </w:p>
    <w:p w14:paraId="24C7F38A" w14:textId="77777777" w:rsidR="0052299F" w:rsidRDefault="0052299F" w:rsidP="0052299F">
      <w:pPr>
        <w:numPr>
          <w:ilvl w:val="0"/>
          <w:numId w:val="16"/>
        </w:numPr>
        <w:spacing w:before="200"/>
      </w:pPr>
      <w:r>
        <w:t>Alert condition surveillance in which ward staff have a responsibility to report specific clinical conditions to the IPCT.</w:t>
      </w:r>
    </w:p>
    <w:p w14:paraId="25D6B4E6" w14:textId="77777777" w:rsidR="0052299F" w:rsidRDefault="0052299F" w:rsidP="0052299F">
      <w:pPr>
        <w:numPr>
          <w:ilvl w:val="0"/>
          <w:numId w:val="16"/>
        </w:numPr>
        <w:spacing w:before="200"/>
      </w:pPr>
      <w:r>
        <w:t>Pro-active surveillance, whereby healthcare associated infection data is gathered prospectively, e.g. surgical site infection.</w:t>
      </w:r>
    </w:p>
    <w:p w14:paraId="38E6A523" w14:textId="77777777" w:rsidR="0052299F" w:rsidRDefault="0052299F" w:rsidP="0052299F">
      <w:pPr>
        <w:numPr>
          <w:ilvl w:val="0"/>
          <w:numId w:val="16"/>
        </w:numPr>
        <w:spacing w:before="200"/>
      </w:pPr>
      <w:r>
        <w:t xml:space="preserve">Mandatory surveillance of MRSA bacteraemia and </w:t>
      </w:r>
      <w:r>
        <w:rPr>
          <w:i/>
        </w:rPr>
        <w:t>Clostridium difficile.</w:t>
      </w:r>
    </w:p>
    <w:p w14:paraId="0359F16E" w14:textId="77777777" w:rsidR="0052299F" w:rsidRDefault="0052299F" w:rsidP="0052299F">
      <w:pPr>
        <w:numPr>
          <w:ilvl w:val="0"/>
          <w:numId w:val="16"/>
        </w:numPr>
        <w:spacing w:before="200"/>
      </w:pPr>
      <w:r>
        <w:t>Mandatory surveillance of some orthopaedic surgical site infections.</w:t>
      </w:r>
    </w:p>
    <w:p w14:paraId="2C8FC7E7" w14:textId="77777777" w:rsidR="0052299F" w:rsidRDefault="0052299F" w:rsidP="0052299F">
      <w:pPr>
        <w:numPr>
          <w:ilvl w:val="0"/>
          <w:numId w:val="16"/>
        </w:numPr>
        <w:spacing w:before="200"/>
      </w:pPr>
      <w:r>
        <w:t>Central line related blood stream infection surveillance (CRBSI) .</w:t>
      </w:r>
    </w:p>
    <w:p w14:paraId="22F4B293" w14:textId="77777777" w:rsidR="0052299F" w:rsidRDefault="0052299F" w:rsidP="0052299F">
      <w:pPr>
        <w:pStyle w:val="EndnoteText"/>
        <w:rPr>
          <w:rFonts w:ascii="Arial" w:hAnsi="Arial" w:cs="Arial"/>
          <w:b/>
          <w:szCs w:val="24"/>
          <w:lang w:val="en-GB"/>
        </w:rPr>
      </w:pPr>
    </w:p>
    <w:p w14:paraId="20737A16" w14:textId="77777777" w:rsidR="00AB45AA" w:rsidRDefault="00AB45AA" w:rsidP="00CF30E3">
      <w:pPr>
        <w:spacing w:before="200" w:after="200"/>
        <w:outlineLvl w:val="0"/>
        <w:rPr>
          <w:rFonts w:eastAsia="Times New Roman"/>
          <w:b/>
          <w:bCs/>
          <w:color w:val="3E80C4"/>
          <w:sz w:val="40"/>
          <w:szCs w:val="34"/>
          <w:lang w:val="en-US" w:eastAsia="en-GB"/>
        </w:rPr>
      </w:pPr>
    </w:p>
    <w:p w14:paraId="091F58D1" w14:textId="77777777" w:rsidR="00AB45AA" w:rsidRDefault="00AB45AA" w:rsidP="00CF30E3">
      <w:pPr>
        <w:spacing w:before="200" w:after="200"/>
        <w:outlineLvl w:val="0"/>
        <w:rPr>
          <w:rFonts w:eastAsia="Times New Roman"/>
          <w:b/>
          <w:bCs/>
          <w:color w:val="3E80C4"/>
          <w:sz w:val="40"/>
          <w:szCs w:val="34"/>
          <w:lang w:val="en-US" w:eastAsia="en-GB"/>
        </w:rPr>
      </w:pPr>
    </w:p>
    <w:p w14:paraId="129EED98" w14:textId="77777777" w:rsidR="00AB45AA" w:rsidRDefault="00AB45AA" w:rsidP="00CF30E3">
      <w:pPr>
        <w:spacing w:before="200" w:after="200"/>
        <w:outlineLvl w:val="0"/>
        <w:rPr>
          <w:rFonts w:eastAsia="Times New Roman"/>
          <w:b/>
          <w:bCs/>
          <w:color w:val="3E80C4"/>
          <w:sz w:val="40"/>
          <w:szCs w:val="34"/>
          <w:lang w:val="en-US" w:eastAsia="en-GB"/>
        </w:rPr>
      </w:pPr>
    </w:p>
    <w:p w14:paraId="760DA560" w14:textId="77777777" w:rsidR="00AB45AA" w:rsidRDefault="00AB45AA" w:rsidP="00CF30E3">
      <w:pPr>
        <w:spacing w:before="200" w:after="200"/>
        <w:outlineLvl w:val="0"/>
        <w:rPr>
          <w:rFonts w:eastAsia="Times New Roman"/>
          <w:b/>
          <w:bCs/>
          <w:color w:val="3E80C4"/>
          <w:sz w:val="40"/>
          <w:szCs w:val="34"/>
          <w:lang w:val="en-US" w:eastAsia="en-GB"/>
        </w:rPr>
      </w:pPr>
    </w:p>
    <w:p w14:paraId="048E46D2" w14:textId="77777777" w:rsidR="00AB45AA" w:rsidRDefault="00AB45AA" w:rsidP="00CF30E3">
      <w:pPr>
        <w:spacing w:before="200" w:after="200"/>
        <w:outlineLvl w:val="0"/>
        <w:rPr>
          <w:rFonts w:eastAsia="Times New Roman"/>
          <w:b/>
          <w:bCs/>
          <w:color w:val="3E80C4"/>
          <w:sz w:val="40"/>
          <w:szCs w:val="34"/>
          <w:lang w:val="en-US" w:eastAsia="en-GB"/>
        </w:rPr>
      </w:pPr>
    </w:p>
    <w:p w14:paraId="613F8BFA" w14:textId="77777777" w:rsidR="00AB45AA" w:rsidRDefault="00AB45AA" w:rsidP="00CF30E3">
      <w:pPr>
        <w:spacing w:before="200" w:after="200"/>
        <w:outlineLvl w:val="0"/>
        <w:rPr>
          <w:rFonts w:eastAsia="Times New Roman"/>
          <w:b/>
          <w:bCs/>
          <w:color w:val="3E80C4"/>
          <w:sz w:val="40"/>
          <w:szCs w:val="34"/>
          <w:lang w:val="en-US" w:eastAsia="en-GB"/>
        </w:rPr>
      </w:pPr>
    </w:p>
    <w:p w14:paraId="5DE9DDAB" w14:textId="77777777" w:rsidR="00AB45AA" w:rsidRDefault="00AB45AA" w:rsidP="00CF30E3">
      <w:pPr>
        <w:spacing w:before="200" w:after="200"/>
        <w:outlineLvl w:val="0"/>
        <w:rPr>
          <w:rFonts w:eastAsia="Times New Roman"/>
          <w:b/>
          <w:bCs/>
          <w:color w:val="3E80C4"/>
          <w:sz w:val="40"/>
          <w:szCs w:val="34"/>
          <w:lang w:val="en-US" w:eastAsia="en-GB"/>
        </w:rPr>
      </w:pPr>
    </w:p>
    <w:p w14:paraId="6FE9DFE1" w14:textId="77777777" w:rsidR="007B1052" w:rsidRPr="00CF30E3" w:rsidRDefault="007B1052" w:rsidP="00CF30E3">
      <w:pPr>
        <w:spacing w:before="200" w:after="200"/>
        <w:outlineLvl w:val="0"/>
        <w:rPr>
          <w:rFonts w:eastAsia="Times New Roman"/>
          <w:b/>
          <w:bCs/>
          <w:color w:val="3E80C4"/>
          <w:sz w:val="40"/>
          <w:szCs w:val="34"/>
          <w:lang w:val="en-US" w:eastAsia="en-GB"/>
        </w:rPr>
      </w:pPr>
      <w:r w:rsidRPr="00CF30E3">
        <w:rPr>
          <w:rFonts w:eastAsia="Times New Roman"/>
          <w:b/>
          <w:color w:val="3E80C4"/>
          <w:sz w:val="40"/>
          <w:szCs w:val="34"/>
          <w:lang w:val="en-US" w:eastAsia="en-GB"/>
        </w:rPr>
        <w:t>Checklist for the Review and Approval of Policy</w:t>
      </w:r>
    </w:p>
    <w:p w14:paraId="7A3EB71E" w14:textId="77777777" w:rsidR="007B1052" w:rsidRPr="00CF30E3" w:rsidRDefault="007B1052" w:rsidP="00CE1017">
      <w:pPr>
        <w:spacing w:before="200" w:after="200"/>
        <w:outlineLvl w:val="0"/>
        <w:rPr>
          <w:rFonts w:eastAsia="Times New Roman"/>
          <w:b/>
          <w:bCs/>
          <w:szCs w:val="24"/>
          <w:lang w:eastAsia="en-GB"/>
        </w:rPr>
      </w:pPr>
      <w:r w:rsidRPr="00CF30E3">
        <w:rPr>
          <w:rFonts w:eastAsia="Times New Roman"/>
          <w:b/>
          <w:szCs w:val="24"/>
          <w:lang w:eastAsia="en-GB"/>
        </w:rPr>
        <w:t>LEEDS TEACHING HOSPITALS NHS TRUST</w:t>
      </w:r>
    </w:p>
    <w:p w14:paraId="5303E7D1" w14:textId="77777777" w:rsidR="007B1052" w:rsidRPr="00CF30E3" w:rsidRDefault="007B1052" w:rsidP="007B1052">
      <w:pPr>
        <w:spacing w:before="200" w:after="200"/>
        <w:jc w:val="center"/>
        <w:outlineLvl w:val="0"/>
        <w:rPr>
          <w:rFonts w:eastAsia="Times New Roman"/>
          <w:bCs/>
          <w:sz w:val="22"/>
          <w:szCs w:val="24"/>
          <w:lang w:eastAsia="en-GB"/>
        </w:rPr>
      </w:pPr>
      <w:r w:rsidRPr="00CF30E3">
        <w:rPr>
          <w:rFonts w:eastAsia="Times New Roman"/>
          <w:b/>
          <w:sz w:val="22"/>
          <w:szCs w:val="24"/>
          <w:lang w:eastAsia="en-GB"/>
        </w:rPr>
        <w:lastRenderedPageBreak/>
        <w:t>Approving Body Checklist for the Review and Approval of Trust Policy or Procedure</w:t>
      </w:r>
    </w:p>
    <w:p w14:paraId="57E128BF" w14:textId="77777777" w:rsidR="007B1052" w:rsidRPr="00CF30E3" w:rsidRDefault="007B1052" w:rsidP="007B1052">
      <w:pPr>
        <w:spacing w:before="200" w:after="200"/>
        <w:rPr>
          <w:rFonts w:eastAsia="Times New Roman"/>
          <w:bCs/>
          <w:sz w:val="22"/>
          <w:szCs w:val="24"/>
          <w:lang w:eastAsia="en-GB"/>
        </w:rPr>
      </w:pPr>
      <w:r w:rsidRPr="00CF30E3">
        <w:rPr>
          <w:rFonts w:eastAsia="Times New Roman"/>
          <w:sz w:val="22"/>
          <w:szCs w:val="24"/>
          <w:lang w:eastAsia="en-GB"/>
        </w:rPr>
        <w:t>To be completed and attached to the policy when submitted to the appropriate committee for consideration and approval.</w:t>
      </w:r>
    </w:p>
    <w:tbl>
      <w:tblPr>
        <w:tblW w:w="967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40"/>
        <w:gridCol w:w="4989"/>
        <w:gridCol w:w="1170"/>
        <w:gridCol w:w="2976"/>
      </w:tblGrid>
      <w:tr w:rsidR="007B1052" w:rsidRPr="00CF30E3" w14:paraId="10D31BE6" w14:textId="77777777" w:rsidTr="00684A8E">
        <w:trPr>
          <w:tblHeader/>
        </w:trPr>
        <w:tc>
          <w:tcPr>
            <w:tcW w:w="540" w:type="dxa"/>
            <w:shd w:val="clear" w:color="auto" w:fill="C0C0C0"/>
            <w:vAlign w:val="center"/>
          </w:tcPr>
          <w:p w14:paraId="73E50FD5" w14:textId="77777777" w:rsidR="007B1052" w:rsidRPr="00CF30E3" w:rsidRDefault="007B1052" w:rsidP="007B1052">
            <w:pPr>
              <w:spacing w:before="80" w:after="80"/>
              <w:rPr>
                <w:rFonts w:eastAsia="Times New Roman"/>
                <w:b/>
                <w:bCs/>
                <w:sz w:val="22"/>
                <w:szCs w:val="24"/>
                <w:lang w:eastAsia="en-GB"/>
              </w:rPr>
            </w:pPr>
          </w:p>
        </w:tc>
        <w:tc>
          <w:tcPr>
            <w:tcW w:w="4989" w:type="dxa"/>
            <w:shd w:val="clear" w:color="auto" w:fill="C0C0C0"/>
            <w:vAlign w:val="center"/>
          </w:tcPr>
          <w:p w14:paraId="359D6686" w14:textId="77777777" w:rsidR="007B1052" w:rsidRPr="00CF30E3" w:rsidRDefault="007B1052" w:rsidP="007B1052">
            <w:pPr>
              <w:spacing w:before="80" w:after="80"/>
              <w:rPr>
                <w:rFonts w:eastAsia="Times New Roman"/>
                <w:b/>
                <w:bCs/>
                <w:sz w:val="20"/>
                <w:szCs w:val="21"/>
                <w:lang w:eastAsia="en-GB"/>
              </w:rPr>
            </w:pPr>
            <w:r w:rsidRPr="00CF30E3">
              <w:rPr>
                <w:rFonts w:eastAsia="Times New Roman"/>
                <w:b/>
                <w:sz w:val="20"/>
                <w:szCs w:val="21"/>
                <w:lang w:eastAsia="en-GB"/>
              </w:rPr>
              <w:t xml:space="preserve">Title of document being reviewed: </w:t>
            </w:r>
          </w:p>
        </w:tc>
        <w:tc>
          <w:tcPr>
            <w:tcW w:w="1170" w:type="dxa"/>
            <w:shd w:val="clear" w:color="auto" w:fill="C0C0C0"/>
            <w:vAlign w:val="center"/>
          </w:tcPr>
          <w:p w14:paraId="7272FE2A" w14:textId="77777777" w:rsidR="007B1052" w:rsidRPr="00CF30E3" w:rsidRDefault="007B1052" w:rsidP="007B1052">
            <w:pPr>
              <w:spacing w:before="80" w:after="80"/>
              <w:rPr>
                <w:rFonts w:eastAsia="Times New Roman"/>
                <w:b/>
                <w:bCs/>
                <w:sz w:val="20"/>
                <w:szCs w:val="21"/>
                <w:lang w:eastAsia="en-GB"/>
              </w:rPr>
            </w:pPr>
            <w:r w:rsidRPr="00CF30E3">
              <w:rPr>
                <w:rFonts w:eastAsia="Times New Roman"/>
                <w:b/>
                <w:sz w:val="20"/>
                <w:szCs w:val="21"/>
                <w:lang w:eastAsia="en-GB"/>
              </w:rPr>
              <w:t>Yes/No/</w:t>
            </w:r>
            <w:r w:rsidRPr="00CF30E3">
              <w:rPr>
                <w:rFonts w:eastAsia="Times New Roman"/>
                <w:b/>
                <w:sz w:val="20"/>
                <w:szCs w:val="21"/>
                <w:lang w:eastAsia="en-GB"/>
              </w:rPr>
              <w:br/>
              <w:t>Unsure</w:t>
            </w:r>
          </w:p>
        </w:tc>
        <w:tc>
          <w:tcPr>
            <w:tcW w:w="2976" w:type="dxa"/>
            <w:shd w:val="clear" w:color="auto" w:fill="C0C0C0"/>
            <w:vAlign w:val="center"/>
          </w:tcPr>
          <w:p w14:paraId="408D8925" w14:textId="77777777" w:rsidR="007B1052" w:rsidRPr="00CF30E3" w:rsidRDefault="007B1052" w:rsidP="007B1052">
            <w:pPr>
              <w:spacing w:before="80" w:after="80"/>
              <w:rPr>
                <w:rFonts w:eastAsia="Times New Roman"/>
                <w:b/>
                <w:bCs/>
                <w:sz w:val="20"/>
                <w:szCs w:val="21"/>
                <w:lang w:eastAsia="en-GB"/>
              </w:rPr>
            </w:pPr>
            <w:r w:rsidRPr="00CF30E3">
              <w:rPr>
                <w:rFonts w:eastAsia="Times New Roman"/>
                <w:b/>
                <w:sz w:val="20"/>
                <w:szCs w:val="21"/>
                <w:lang w:eastAsia="en-GB"/>
              </w:rPr>
              <w:t>Comments</w:t>
            </w:r>
          </w:p>
        </w:tc>
      </w:tr>
      <w:tr w:rsidR="007B1052" w:rsidRPr="00CF30E3" w14:paraId="3C24CBA0" w14:textId="77777777" w:rsidTr="00684A8E">
        <w:tc>
          <w:tcPr>
            <w:tcW w:w="540" w:type="dxa"/>
          </w:tcPr>
          <w:p w14:paraId="0DE1F6A9" w14:textId="77777777" w:rsidR="007B1052" w:rsidRPr="00CF30E3" w:rsidRDefault="007B1052" w:rsidP="007B1052">
            <w:pPr>
              <w:spacing w:before="80" w:after="80"/>
              <w:rPr>
                <w:rFonts w:eastAsia="Times New Roman"/>
                <w:b/>
                <w:bCs/>
                <w:sz w:val="20"/>
                <w:szCs w:val="24"/>
                <w:lang w:eastAsia="en-GB"/>
              </w:rPr>
            </w:pPr>
            <w:r w:rsidRPr="00CF30E3">
              <w:rPr>
                <w:rFonts w:eastAsia="Times New Roman"/>
                <w:b/>
                <w:sz w:val="20"/>
                <w:szCs w:val="24"/>
                <w:lang w:eastAsia="en-GB"/>
              </w:rPr>
              <w:t>1.</w:t>
            </w:r>
          </w:p>
        </w:tc>
        <w:tc>
          <w:tcPr>
            <w:tcW w:w="4989" w:type="dxa"/>
          </w:tcPr>
          <w:p w14:paraId="30C07C66" w14:textId="77777777" w:rsidR="007B1052" w:rsidRPr="00CF30E3" w:rsidRDefault="007B1052" w:rsidP="007B1052">
            <w:pPr>
              <w:spacing w:before="80" w:after="80"/>
              <w:rPr>
                <w:rFonts w:eastAsia="Times New Roman"/>
                <w:b/>
                <w:bCs/>
                <w:sz w:val="20"/>
                <w:szCs w:val="21"/>
                <w:lang w:eastAsia="en-GB"/>
              </w:rPr>
            </w:pPr>
            <w:r w:rsidRPr="00CF30E3">
              <w:rPr>
                <w:rFonts w:eastAsia="Times New Roman"/>
                <w:b/>
                <w:sz w:val="20"/>
                <w:szCs w:val="21"/>
                <w:lang w:eastAsia="en-GB"/>
              </w:rPr>
              <w:t>Format and Content</w:t>
            </w:r>
          </w:p>
        </w:tc>
        <w:tc>
          <w:tcPr>
            <w:tcW w:w="1170" w:type="dxa"/>
            <w:shd w:val="clear" w:color="auto" w:fill="E0E0E0"/>
          </w:tcPr>
          <w:p w14:paraId="63712813"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071B44A3" w14:textId="77777777" w:rsidR="007B1052" w:rsidRPr="00CF30E3" w:rsidRDefault="007B1052" w:rsidP="007B1052">
            <w:pPr>
              <w:spacing w:before="80" w:after="80"/>
              <w:rPr>
                <w:rFonts w:eastAsia="Times New Roman"/>
                <w:bCs/>
                <w:sz w:val="20"/>
                <w:szCs w:val="21"/>
                <w:lang w:eastAsia="en-GB"/>
              </w:rPr>
            </w:pPr>
          </w:p>
        </w:tc>
      </w:tr>
      <w:tr w:rsidR="007B1052" w:rsidRPr="00CF30E3" w14:paraId="609F3930" w14:textId="77777777" w:rsidTr="00684A8E">
        <w:tc>
          <w:tcPr>
            <w:tcW w:w="540" w:type="dxa"/>
          </w:tcPr>
          <w:p w14:paraId="6AA48B9E" w14:textId="77777777" w:rsidR="007B1052" w:rsidRPr="00CF30E3" w:rsidRDefault="007B1052" w:rsidP="007B1052">
            <w:pPr>
              <w:spacing w:before="80" w:after="80"/>
              <w:rPr>
                <w:rFonts w:eastAsia="Times New Roman"/>
                <w:bCs/>
                <w:sz w:val="20"/>
                <w:szCs w:val="24"/>
                <w:lang w:eastAsia="en-GB"/>
              </w:rPr>
            </w:pPr>
          </w:p>
        </w:tc>
        <w:tc>
          <w:tcPr>
            <w:tcW w:w="4989" w:type="dxa"/>
          </w:tcPr>
          <w:p w14:paraId="458D2C14" w14:textId="77777777" w:rsidR="007B1052" w:rsidRPr="00CF30E3" w:rsidRDefault="007B1052" w:rsidP="007B1052">
            <w:pPr>
              <w:spacing w:before="80" w:after="80"/>
              <w:rPr>
                <w:rFonts w:eastAsia="Times New Roman"/>
                <w:bCs/>
                <w:sz w:val="20"/>
                <w:szCs w:val="21"/>
                <w:lang w:eastAsia="en-GB"/>
              </w:rPr>
            </w:pPr>
            <w:r w:rsidRPr="00CF30E3">
              <w:rPr>
                <w:rFonts w:eastAsia="Times New Roman"/>
                <w:sz w:val="20"/>
                <w:szCs w:val="21"/>
                <w:lang w:eastAsia="en-GB"/>
              </w:rPr>
              <w:t>Is it in the correct format?</w:t>
            </w:r>
          </w:p>
        </w:tc>
        <w:tc>
          <w:tcPr>
            <w:tcW w:w="1170" w:type="dxa"/>
          </w:tcPr>
          <w:p w14:paraId="53E0C286" w14:textId="77777777" w:rsidR="007B1052" w:rsidRPr="00CF30E3" w:rsidRDefault="00AB45AA" w:rsidP="007B1052">
            <w:pPr>
              <w:spacing w:before="80" w:after="80"/>
              <w:rPr>
                <w:rFonts w:eastAsia="Times New Roman"/>
                <w:bCs/>
                <w:sz w:val="20"/>
                <w:szCs w:val="21"/>
                <w:lang w:eastAsia="en-GB"/>
              </w:rPr>
            </w:pPr>
            <w:r>
              <w:rPr>
                <w:rFonts w:eastAsia="Times New Roman"/>
                <w:sz w:val="20"/>
                <w:szCs w:val="21"/>
                <w:lang w:eastAsia="en-GB"/>
              </w:rPr>
              <w:t>Yes</w:t>
            </w:r>
          </w:p>
        </w:tc>
        <w:tc>
          <w:tcPr>
            <w:tcW w:w="2976" w:type="dxa"/>
          </w:tcPr>
          <w:p w14:paraId="70935E8D" w14:textId="77777777" w:rsidR="007B1052" w:rsidRPr="00CF30E3" w:rsidRDefault="007B1052" w:rsidP="007B1052">
            <w:pPr>
              <w:spacing w:before="80" w:after="80"/>
              <w:rPr>
                <w:rFonts w:eastAsia="Times New Roman"/>
                <w:bCs/>
                <w:sz w:val="20"/>
                <w:szCs w:val="21"/>
                <w:lang w:eastAsia="en-GB"/>
              </w:rPr>
            </w:pPr>
          </w:p>
        </w:tc>
      </w:tr>
      <w:tr w:rsidR="007B1052" w:rsidRPr="00CF30E3" w14:paraId="4D16500F" w14:textId="77777777" w:rsidTr="00684A8E">
        <w:tc>
          <w:tcPr>
            <w:tcW w:w="540" w:type="dxa"/>
          </w:tcPr>
          <w:p w14:paraId="5761CAEA" w14:textId="77777777" w:rsidR="007B1052" w:rsidRPr="00CF30E3" w:rsidRDefault="007B1052" w:rsidP="007B1052">
            <w:pPr>
              <w:spacing w:before="80" w:after="80"/>
              <w:rPr>
                <w:rFonts w:eastAsia="Times New Roman"/>
                <w:bCs/>
                <w:sz w:val="20"/>
                <w:szCs w:val="24"/>
                <w:lang w:eastAsia="en-GB"/>
              </w:rPr>
            </w:pPr>
          </w:p>
        </w:tc>
        <w:tc>
          <w:tcPr>
            <w:tcW w:w="4989" w:type="dxa"/>
          </w:tcPr>
          <w:p w14:paraId="5DB26319" w14:textId="77777777" w:rsidR="007B1052" w:rsidRPr="00CF30E3" w:rsidRDefault="007B1052" w:rsidP="007B1052">
            <w:pPr>
              <w:spacing w:before="80" w:after="80"/>
              <w:rPr>
                <w:rFonts w:eastAsia="Times New Roman"/>
                <w:bCs/>
                <w:sz w:val="20"/>
                <w:szCs w:val="21"/>
                <w:lang w:eastAsia="en-GB"/>
              </w:rPr>
            </w:pPr>
            <w:r w:rsidRPr="00CF30E3">
              <w:rPr>
                <w:rFonts w:eastAsia="Times New Roman"/>
                <w:sz w:val="20"/>
                <w:szCs w:val="21"/>
                <w:lang w:eastAsia="en-GB"/>
              </w:rPr>
              <w:t>Is the staff summary clear and adequate?</w:t>
            </w:r>
          </w:p>
        </w:tc>
        <w:tc>
          <w:tcPr>
            <w:tcW w:w="1170" w:type="dxa"/>
          </w:tcPr>
          <w:p w14:paraId="1F90AC19" w14:textId="77777777" w:rsidR="007B1052" w:rsidRPr="00CF30E3" w:rsidRDefault="00AB45AA" w:rsidP="007B1052">
            <w:pPr>
              <w:spacing w:before="80" w:after="80"/>
              <w:rPr>
                <w:rFonts w:eastAsia="Times New Roman"/>
                <w:bCs/>
                <w:sz w:val="20"/>
                <w:szCs w:val="21"/>
                <w:lang w:eastAsia="en-GB"/>
              </w:rPr>
            </w:pPr>
            <w:r>
              <w:rPr>
                <w:rFonts w:eastAsia="Times New Roman"/>
                <w:sz w:val="20"/>
                <w:szCs w:val="21"/>
                <w:lang w:eastAsia="en-GB"/>
              </w:rPr>
              <w:t>Yes</w:t>
            </w:r>
          </w:p>
        </w:tc>
        <w:tc>
          <w:tcPr>
            <w:tcW w:w="2976" w:type="dxa"/>
          </w:tcPr>
          <w:p w14:paraId="0C26F1C8" w14:textId="77777777" w:rsidR="007B1052" w:rsidRPr="00CF30E3" w:rsidRDefault="007B1052" w:rsidP="007B1052">
            <w:pPr>
              <w:spacing w:before="80" w:after="80"/>
              <w:rPr>
                <w:rFonts w:eastAsia="Times New Roman"/>
                <w:bCs/>
                <w:sz w:val="20"/>
                <w:szCs w:val="21"/>
                <w:lang w:eastAsia="en-GB"/>
              </w:rPr>
            </w:pPr>
          </w:p>
        </w:tc>
      </w:tr>
      <w:tr w:rsidR="007B1052" w:rsidRPr="00CF30E3" w14:paraId="7C8234BD" w14:textId="77777777" w:rsidTr="00684A8E">
        <w:tc>
          <w:tcPr>
            <w:tcW w:w="540" w:type="dxa"/>
          </w:tcPr>
          <w:p w14:paraId="6C0A3773" w14:textId="77777777" w:rsidR="007B1052" w:rsidRPr="00CF30E3" w:rsidRDefault="007B1052" w:rsidP="007B1052">
            <w:pPr>
              <w:spacing w:before="80" w:after="80"/>
              <w:rPr>
                <w:rFonts w:eastAsia="Times New Roman"/>
                <w:bCs/>
                <w:sz w:val="20"/>
                <w:szCs w:val="24"/>
                <w:lang w:eastAsia="en-GB"/>
              </w:rPr>
            </w:pPr>
          </w:p>
        </w:tc>
        <w:tc>
          <w:tcPr>
            <w:tcW w:w="4989" w:type="dxa"/>
          </w:tcPr>
          <w:p w14:paraId="5EFE151C" w14:textId="77777777" w:rsidR="007B1052" w:rsidRPr="00CF30E3" w:rsidRDefault="007B1052" w:rsidP="007B1052">
            <w:pPr>
              <w:spacing w:before="80" w:after="80"/>
              <w:rPr>
                <w:rFonts w:eastAsia="Times New Roman"/>
                <w:bCs/>
                <w:sz w:val="20"/>
                <w:szCs w:val="21"/>
                <w:lang w:eastAsia="en-GB"/>
              </w:rPr>
            </w:pPr>
            <w:r w:rsidRPr="00CF30E3">
              <w:rPr>
                <w:rFonts w:eastAsia="Times New Roman"/>
                <w:sz w:val="20"/>
                <w:szCs w:val="21"/>
                <w:lang w:eastAsia="en-GB"/>
              </w:rPr>
              <w:t xml:space="preserve">Are the intended outcomes clearly described? (the Policy/Procedure Effect) </w:t>
            </w:r>
          </w:p>
        </w:tc>
        <w:tc>
          <w:tcPr>
            <w:tcW w:w="1170" w:type="dxa"/>
          </w:tcPr>
          <w:p w14:paraId="547CC762" w14:textId="77777777" w:rsidR="007B1052" w:rsidRPr="00CF30E3" w:rsidRDefault="00AB45AA" w:rsidP="007B1052">
            <w:pPr>
              <w:spacing w:before="80" w:after="80"/>
              <w:rPr>
                <w:rFonts w:eastAsia="Times New Roman"/>
                <w:bCs/>
                <w:sz w:val="20"/>
                <w:szCs w:val="21"/>
                <w:lang w:eastAsia="en-GB"/>
              </w:rPr>
            </w:pPr>
            <w:r>
              <w:rPr>
                <w:rFonts w:eastAsia="Times New Roman"/>
                <w:sz w:val="20"/>
                <w:szCs w:val="21"/>
                <w:lang w:eastAsia="en-GB"/>
              </w:rPr>
              <w:t>Yes</w:t>
            </w:r>
          </w:p>
        </w:tc>
        <w:tc>
          <w:tcPr>
            <w:tcW w:w="2976" w:type="dxa"/>
          </w:tcPr>
          <w:p w14:paraId="51F9F03D" w14:textId="77777777" w:rsidR="007B1052" w:rsidRPr="00CF30E3" w:rsidRDefault="007B1052" w:rsidP="007B1052">
            <w:pPr>
              <w:spacing w:before="80" w:after="80"/>
              <w:rPr>
                <w:rFonts w:eastAsia="Times New Roman"/>
                <w:bCs/>
                <w:sz w:val="20"/>
                <w:szCs w:val="21"/>
                <w:lang w:eastAsia="en-GB"/>
              </w:rPr>
            </w:pPr>
          </w:p>
        </w:tc>
      </w:tr>
      <w:tr w:rsidR="007B1052" w:rsidRPr="00CF30E3" w14:paraId="739C1095" w14:textId="77777777" w:rsidTr="00684A8E">
        <w:tc>
          <w:tcPr>
            <w:tcW w:w="540" w:type="dxa"/>
          </w:tcPr>
          <w:p w14:paraId="2A2E3C09" w14:textId="77777777" w:rsidR="007B1052" w:rsidRPr="00CF30E3" w:rsidRDefault="007B1052" w:rsidP="007B1052">
            <w:pPr>
              <w:spacing w:before="80" w:after="80"/>
              <w:rPr>
                <w:rFonts w:eastAsia="Times New Roman"/>
                <w:bCs/>
                <w:sz w:val="20"/>
                <w:szCs w:val="24"/>
                <w:lang w:eastAsia="en-GB"/>
              </w:rPr>
            </w:pPr>
          </w:p>
        </w:tc>
        <w:tc>
          <w:tcPr>
            <w:tcW w:w="4989" w:type="dxa"/>
          </w:tcPr>
          <w:p w14:paraId="4AC1E508" w14:textId="77777777" w:rsidR="007B1052" w:rsidRPr="00CF30E3" w:rsidRDefault="007B1052" w:rsidP="007B1052">
            <w:pPr>
              <w:spacing w:before="80" w:after="80"/>
              <w:rPr>
                <w:rFonts w:eastAsia="Times New Roman"/>
                <w:bCs/>
                <w:sz w:val="20"/>
                <w:szCs w:val="21"/>
                <w:lang w:eastAsia="en-GB"/>
              </w:rPr>
            </w:pPr>
            <w:r w:rsidRPr="00CF30E3">
              <w:rPr>
                <w:rFonts w:eastAsia="Times New Roman"/>
                <w:sz w:val="20"/>
                <w:szCs w:val="21"/>
                <w:lang w:eastAsia="en-GB"/>
              </w:rPr>
              <w:t>Is there a Definitions section giving an explanation of key terms used.</w:t>
            </w:r>
          </w:p>
        </w:tc>
        <w:tc>
          <w:tcPr>
            <w:tcW w:w="1170" w:type="dxa"/>
          </w:tcPr>
          <w:p w14:paraId="0B7C53DA" w14:textId="77777777" w:rsidR="007B1052" w:rsidRPr="00CF30E3" w:rsidRDefault="00AB45AA" w:rsidP="007B1052">
            <w:pPr>
              <w:spacing w:before="80" w:after="80"/>
              <w:rPr>
                <w:rFonts w:eastAsia="Times New Roman"/>
                <w:bCs/>
                <w:sz w:val="20"/>
                <w:szCs w:val="21"/>
                <w:lang w:eastAsia="en-GB"/>
              </w:rPr>
            </w:pPr>
            <w:r>
              <w:rPr>
                <w:rFonts w:eastAsia="Times New Roman"/>
                <w:sz w:val="20"/>
                <w:szCs w:val="21"/>
                <w:lang w:eastAsia="en-GB"/>
              </w:rPr>
              <w:t>Yes</w:t>
            </w:r>
          </w:p>
        </w:tc>
        <w:tc>
          <w:tcPr>
            <w:tcW w:w="2976" w:type="dxa"/>
          </w:tcPr>
          <w:p w14:paraId="3BA993E8" w14:textId="77777777" w:rsidR="007B1052" w:rsidRPr="00CF30E3" w:rsidRDefault="007B1052" w:rsidP="007B1052">
            <w:pPr>
              <w:spacing w:before="80" w:after="80"/>
              <w:rPr>
                <w:rFonts w:eastAsia="Times New Roman"/>
                <w:bCs/>
                <w:sz w:val="20"/>
                <w:szCs w:val="21"/>
                <w:lang w:eastAsia="en-GB"/>
              </w:rPr>
            </w:pPr>
          </w:p>
        </w:tc>
      </w:tr>
      <w:tr w:rsidR="007B1052" w:rsidRPr="00CF30E3" w14:paraId="1B0BC398" w14:textId="77777777" w:rsidTr="00684A8E">
        <w:tc>
          <w:tcPr>
            <w:tcW w:w="540" w:type="dxa"/>
          </w:tcPr>
          <w:p w14:paraId="45351426" w14:textId="77777777" w:rsidR="007B1052" w:rsidRPr="00CF30E3" w:rsidRDefault="007B1052" w:rsidP="007B1052">
            <w:pPr>
              <w:spacing w:before="80" w:after="80"/>
              <w:rPr>
                <w:rFonts w:eastAsia="Times New Roman"/>
                <w:bCs/>
                <w:sz w:val="20"/>
                <w:szCs w:val="24"/>
                <w:lang w:eastAsia="en-GB"/>
              </w:rPr>
            </w:pPr>
          </w:p>
        </w:tc>
        <w:tc>
          <w:tcPr>
            <w:tcW w:w="4989" w:type="dxa"/>
          </w:tcPr>
          <w:p w14:paraId="2052BE90" w14:textId="77777777" w:rsidR="007B1052" w:rsidRPr="00CF30E3" w:rsidRDefault="00CE1017" w:rsidP="007B1052">
            <w:pPr>
              <w:spacing w:before="80" w:after="80"/>
              <w:rPr>
                <w:rFonts w:eastAsia="Times New Roman"/>
                <w:bCs/>
                <w:sz w:val="20"/>
                <w:szCs w:val="21"/>
                <w:lang w:eastAsia="en-GB"/>
              </w:rPr>
            </w:pPr>
            <w:r w:rsidRPr="00CF30E3">
              <w:rPr>
                <w:rFonts w:eastAsia="Times New Roman"/>
                <w:sz w:val="20"/>
                <w:szCs w:val="21"/>
                <w:lang w:eastAsia="en-GB"/>
              </w:rPr>
              <w:t>Has the policy’s impact on Equality and Diversity been fully considered?</w:t>
            </w:r>
          </w:p>
        </w:tc>
        <w:tc>
          <w:tcPr>
            <w:tcW w:w="1170" w:type="dxa"/>
            <w:shd w:val="clear" w:color="auto" w:fill="FFFFFF"/>
          </w:tcPr>
          <w:p w14:paraId="21655C1A" w14:textId="77777777" w:rsidR="007B1052" w:rsidRPr="00CF30E3" w:rsidRDefault="00AB45AA" w:rsidP="007B1052">
            <w:pPr>
              <w:spacing w:before="80" w:after="80"/>
              <w:rPr>
                <w:rFonts w:eastAsia="Times New Roman"/>
                <w:bCs/>
                <w:sz w:val="20"/>
                <w:szCs w:val="21"/>
                <w:lang w:eastAsia="en-GB"/>
              </w:rPr>
            </w:pPr>
            <w:r>
              <w:rPr>
                <w:rFonts w:eastAsia="Times New Roman"/>
                <w:sz w:val="20"/>
                <w:szCs w:val="21"/>
                <w:lang w:eastAsia="en-GB"/>
              </w:rPr>
              <w:t>Yes</w:t>
            </w:r>
          </w:p>
        </w:tc>
        <w:tc>
          <w:tcPr>
            <w:tcW w:w="2976" w:type="dxa"/>
            <w:shd w:val="clear" w:color="auto" w:fill="FFFFFF"/>
          </w:tcPr>
          <w:p w14:paraId="488B175A" w14:textId="77777777" w:rsidR="007B1052" w:rsidRPr="00CF30E3" w:rsidRDefault="007B1052" w:rsidP="007B1052">
            <w:pPr>
              <w:spacing w:before="80" w:after="80"/>
              <w:rPr>
                <w:rFonts w:eastAsia="Times New Roman"/>
                <w:bCs/>
                <w:sz w:val="20"/>
                <w:szCs w:val="21"/>
                <w:lang w:eastAsia="en-GB"/>
              </w:rPr>
            </w:pPr>
          </w:p>
        </w:tc>
      </w:tr>
      <w:tr w:rsidR="007B1052" w:rsidRPr="00CF30E3" w14:paraId="19F2E94B" w14:textId="77777777" w:rsidTr="00684A8E">
        <w:tc>
          <w:tcPr>
            <w:tcW w:w="540" w:type="dxa"/>
          </w:tcPr>
          <w:p w14:paraId="2D5B6746" w14:textId="77777777" w:rsidR="007B1052" w:rsidRPr="00CF30E3" w:rsidRDefault="007B1052" w:rsidP="007B1052">
            <w:pPr>
              <w:spacing w:before="80" w:after="80"/>
              <w:rPr>
                <w:rFonts w:eastAsia="Times New Roman"/>
                <w:b/>
                <w:bCs/>
                <w:sz w:val="20"/>
                <w:szCs w:val="24"/>
                <w:lang w:eastAsia="en-GB"/>
              </w:rPr>
            </w:pPr>
            <w:r w:rsidRPr="00CF30E3">
              <w:rPr>
                <w:rFonts w:eastAsia="Times New Roman"/>
                <w:b/>
                <w:sz w:val="20"/>
                <w:szCs w:val="24"/>
                <w:lang w:eastAsia="en-GB"/>
              </w:rPr>
              <w:t>2.</w:t>
            </w:r>
          </w:p>
        </w:tc>
        <w:tc>
          <w:tcPr>
            <w:tcW w:w="4989" w:type="dxa"/>
          </w:tcPr>
          <w:p w14:paraId="2695C618" w14:textId="77777777" w:rsidR="007B1052" w:rsidRPr="00CF30E3" w:rsidRDefault="007B1052" w:rsidP="007B1052">
            <w:pPr>
              <w:spacing w:before="80" w:after="80"/>
              <w:rPr>
                <w:rFonts w:eastAsia="Times New Roman"/>
                <w:b/>
                <w:bCs/>
                <w:sz w:val="20"/>
                <w:szCs w:val="21"/>
                <w:lang w:eastAsia="en-GB"/>
              </w:rPr>
            </w:pPr>
            <w:r w:rsidRPr="00CF30E3">
              <w:rPr>
                <w:rFonts w:eastAsia="Times New Roman"/>
                <w:b/>
                <w:sz w:val="20"/>
                <w:szCs w:val="21"/>
                <w:lang w:eastAsia="en-GB"/>
              </w:rPr>
              <w:t>Consultation and Review</w:t>
            </w:r>
          </w:p>
        </w:tc>
        <w:tc>
          <w:tcPr>
            <w:tcW w:w="1170" w:type="dxa"/>
            <w:shd w:val="clear" w:color="auto" w:fill="E0E0E0"/>
          </w:tcPr>
          <w:p w14:paraId="5ADD3C24"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74591E78" w14:textId="77777777" w:rsidR="007B1052" w:rsidRPr="00CF30E3" w:rsidRDefault="007B1052" w:rsidP="007B1052">
            <w:pPr>
              <w:spacing w:before="80" w:after="80"/>
              <w:rPr>
                <w:rFonts w:eastAsia="Times New Roman"/>
                <w:bCs/>
                <w:sz w:val="20"/>
                <w:szCs w:val="21"/>
                <w:lang w:eastAsia="en-GB"/>
              </w:rPr>
            </w:pPr>
          </w:p>
        </w:tc>
      </w:tr>
      <w:tr w:rsidR="00625DB2" w:rsidRPr="00CF30E3" w14:paraId="5443C8E0" w14:textId="77777777" w:rsidTr="00684A8E">
        <w:tc>
          <w:tcPr>
            <w:tcW w:w="540" w:type="dxa"/>
          </w:tcPr>
          <w:p w14:paraId="16EC93ED" w14:textId="77777777" w:rsidR="00625DB2" w:rsidRPr="00CF30E3" w:rsidRDefault="00625DB2" w:rsidP="00625DB2">
            <w:pPr>
              <w:spacing w:before="80" w:after="80"/>
              <w:rPr>
                <w:rFonts w:eastAsia="Times New Roman"/>
                <w:b/>
                <w:bCs/>
                <w:sz w:val="20"/>
                <w:szCs w:val="24"/>
                <w:lang w:eastAsia="en-GB"/>
              </w:rPr>
            </w:pPr>
          </w:p>
        </w:tc>
        <w:tc>
          <w:tcPr>
            <w:tcW w:w="4989" w:type="dxa"/>
          </w:tcPr>
          <w:p w14:paraId="0CF3AEFC" w14:textId="77777777" w:rsidR="00625DB2" w:rsidRPr="00CF30E3" w:rsidRDefault="00625DB2" w:rsidP="00625DB2">
            <w:pPr>
              <w:spacing w:before="80" w:after="80"/>
              <w:rPr>
                <w:rFonts w:eastAsia="Times New Roman"/>
                <w:bCs/>
                <w:sz w:val="20"/>
                <w:szCs w:val="21"/>
                <w:lang w:eastAsia="en-GB"/>
              </w:rPr>
            </w:pPr>
            <w:r w:rsidRPr="00CF30E3">
              <w:rPr>
                <w:rFonts w:eastAsia="Times New Roman"/>
                <w:sz w:val="20"/>
                <w:szCs w:val="21"/>
                <w:lang w:eastAsia="en-GB"/>
              </w:rPr>
              <w:t>Has there been appropriate consultation with stakeholders and users?</w:t>
            </w:r>
          </w:p>
        </w:tc>
        <w:tc>
          <w:tcPr>
            <w:tcW w:w="1170" w:type="dxa"/>
            <w:shd w:val="clear" w:color="auto" w:fill="auto"/>
          </w:tcPr>
          <w:p w14:paraId="7B8CC2C0" w14:textId="77777777" w:rsidR="00625DB2" w:rsidRPr="00CF30E3" w:rsidRDefault="00625DB2" w:rsidP="00625DB2">
            <w:pPr>
              <w:spacing w:before="80" w:after="80"/>
              <w:rPr>
                <w:rFonts w:eastAsia="Times New Roman"/>
                <w:bCs/>
                <w:sz w:val="20"/>
                <w:szCs w:val="21"/>
                <w:lang w:eastAsia="en-GB"/>
              </w:rPr>
            </w:pPr>
            <w:r>
              <w:rPr>
                <w:rFonts w:eastAsia="Times New Roman"/>
                <w:sz w:val="20"/>
                <w:szCs w:val="21"/>
                <w:lang w:eastAsia="en-GB"/>
              </w:rPr>
              <w:t>No</w:t>
            </w:r>
          </w:p>
        </w:tc>
        <w:tc>
          <w:tcPr>
            <w:tcW w:w="2976" w:type="dxa"/>
            <w:shd w:val="clear" w:color="auto" w:fill="auto"/>
          </w:tcPr>
          <w:p w14:paraId="62182B58" w14:textId="77777777" w:rsidR="00625DB2" w:rsidRPr="00CF30E3" w:rsidRDefault="00625DB2" w:rsidP="00625DB2">
            <w:pPr>
              <w:spacing w:before="80" w:after="80"/>
              <w:rPr>
                <w:rFonts w:eastAsia="Times New Roman"/>
                <w:bCs/>
                <w:sz w:val="20"/>
                <w:szCs w:val="21"/>
                <w:lang w:eastAsia="en-GB"/>
              </w:rPr>
            </w:pPr>
            <w:r>
              <w:rPr>
                <w:rFonts w:eastAsia="Times New Roman"/>
                <w:sz w:val="20"/>
                <w:szCs w:val="21"/>
                <w:lang w:eastAsia="en-GB"/>
              </w:rPr>
              <w:t>To be circulated for comment</w:t>
            </w:r>
          </w:p>
        </w:tc>
      </w:tr>
      <w:tr w:rsidR="00625DB2" w:rsidRPr="00CF30E3" w14:paraId="66A11C99" w14:textId="77777777" w:rsidTr="00684A8E">
        <w:tc>
          <w:tcPr>
            <w:tcW w:w="540" w:type="dxa"/>
          </w:tcPr>
          <w:p w14:paraId="477E2785" w14:textId="77777777" w:rsidR="00625DB2" w:rsidRPr="00CF30E3" w:rsidRDefault="00625DB2" w:rsidP="00625DB2">
            <w:pPr>
              <w:spacing w:before="80" w:after="80"/>
              <w:rPr>
                <w:rFonts w:eastAsia="Times New Roman"/>
                <w:bCs/>
                <w:sz w:val="20"/>
                <w:szCs w:val="24"/>
                <w:lang w:eastAsia="en-GB"/>
              </w:rPr>
            </w:pPr>
          </w:p>
        </w:tc>
        <w:tc>
          <w:tcPr>
            <w:tcW w:w="4989" w:type="dxa"/>
          </w:tcPr>
          <w:p w14:paraId="4DBEF39B" w14:textId="77777777" w:rsidR="00625DB2" w:rsidRPr="00CF30E3" w:rsidRDefault="00625DB2" w:rsidP="00625DB2">
            <w:pPr>
              <w:spacing w:before="80" w:after="80"/>
              <w:rPr>
                <w:rFonts w:eastAsia="Times New Roman"/>
                <w:bCs/>
                <w:sz w:val="20"/>
                <w:szCs w:val="21"/>
                <w:lang w:eastAsia="en-GB"/>
              </w:rPr>
            </w:pPr>
            <w:r w:rsidRPr="00CF30E3">
              <w:rPr>
                <w:rFonts w:eastAsia="Times New Roman"/>
                <w:sz w:val="20"/>
                <w:szCs w:val="21"/>
                <w:lang w:eastAsia="en-GB"/>
              </w:rPr>
              <w:t xml:space="preserve">Has an appropriate governance group reviewed and supported the document prior to submission for formal approval? </w:t>
            </w:r>
          </w:p>
        </w:tc>
        <w:tc>
          <w:tcPr>
            <w:tcW w:w="1170" w:type="dxa"/>
          </w:tcPr>
          <w:p w14:paraId="3194566E" w14:textId="77777777" w:rsidR="00625DB2" w:rsidRPr="00CF30E3" w:rsidRDefault="00625DB2" w:rsidP="00625DB2">
            <w:pPr>
              <w:spacing w:before="80" w:after="80"/>
              <w:rPr>
                <w:rFonts w:eastAsia="Times New Roman"/>
                <w:bCs/>
                <w:sz w:val="20"/>
                <w:szCs w:val="21"/>
                <w:lang w:eastAsia="en-GB"/>
              </w:rPr>
            </w:pPr>
            <w:r>
              <w:rPr>
                <w:rFonts w:eastAsia="Times New Roman"/>
                <w:bCs/>
                <w:sz w:val="20"/>
                <w:szCs w:val="21"/>
                <w:lang w:eastAsia="en-GB"/>
              </w:rPr>
              <w:t>Yes</w:t>
            </w:r>
          </w:p>
        </w:tc>
        <w:tc>
          <w:tcPr>
            <w:tcW w:w="2976" w:type="dxa"/>
          </w:tcPr>
          <w:p w14:paraId="22C47AA0" w14:textId="77777777" w:rsidR="00625DB2" w:rsidRPr="00CF30E3" w:rsidRDefault="00625DB2" w:rsidP="00625DB2">
            <w:pPr>
              <w:spacing w:before="80" w:after="80"/>
              <w:rPr>
                <w:rFonts w:eastAsia="Times New Roman"/>
                <w:bCs/>
                <w:sz w:val="20"/>
                <w:szCs w:val="21"/>
                <w:lang w:eastAsia="en-GB"/>
              </w:rPr>
            </w:pPr>
            <w:r>
              <w:rPr>
                <w:rFonts w:eastAsia="Times New Roman"/>
                <w:bCs/>
                <w:sz w:val="20"/>
                <w:szCs w:val="21"/>
                <w:lang w:eastAsia="en-GB"/>
              </w:rPr>
              <w:t xml:space="preserve">Approved at the Infection Prevention and Control Sub Committee   </w:t>
            </w:r>
          </w:p>
        </w:tc>
      </w:tr>
      <w:tr w:rsidR="00625DB2" w:rsidRPr="00CF30E3" w14:paraId="6360D384" w14:textId="77777777" w:rsidTr="00684A8E">
        <w:tc>
          <w:tcPr>
            <w:tcW w:w="540" w:type="dxa"/>
          </w:tcPr>
          <w:p w14:paraId="4DD2F691" w14:textId="77777777" w:rsidR="00625DB2" w:rsidRPr="00CF30E3" w:rsidRDefault="00625DB2" w:rsidP="00625DB2">
            <w:pPr>
              <w:spacing w:before="80" w:after="80"/>
              <w:rPr>
                <w:rFonts w:eastAsia="Times New Roman"/>
                <w:bCs/>
                <w:sz w:val="20"/>
                <w:szCs w:val="24"/>
                <w:lang w:eastAsia="en-GB"/>
              </w:rPr>
            </w:pPr>
          </w:p>
        </w:tc>
        <w:tc>
          <w:tcPr>
            <w:tcW w:w="4989" w:type="dxa"/>
          </w:tcPr>
          <w:p w14:paraId="314A027A" w14:textId="77777777" w:rsidR="00625DB2" w:rsidRPr="00CF30E3" w:rsidRDefault="00625DB2" w:rsidP="00625DB2">
            <w:pPr>
              <w:spacing w:before="80" w:after="80"/>
              <w:rPr>
                <w:rFonts w:eastAsia="Times New Roman"/>
                <w:bCs/>
                <w:sz w:val="20"/>
                <w:szCs w:val="21"/>
                <w:lang w:eastAsia="en-GB"/>
              </w:rPr>
            </w:pPr>
            <w:r w:rsidRPr="00CF30E3">
              <w:rPr>
                <w:rFonts w:eastAsia="Times New Roman"/>
                <w:sz w:val="20"/>
                <w:szCs w:val="21"/>
                <w:lang w:eastAsia="en-GB"/>
              </w:rPr>
              <w:t>For HR Policies only, has the TCNC approved the document?</w:t>
            </w:r>
          </w:p>
        </w:tc>
        <w:tc>
          <w:tcPr>
            <w:tcW w:w="1170" w:type="dxa"/>
          </w:tcPr>
          <w:p w14:paraId="7F4DC813" w14:textId="77777777" w:rsidR="00625DB2" w:rsidRPr="00CF30E3" w:rsidRDefault="00625DB2" w:rsidP="00625DB2">
            <w:pPr>
              <w:spacing w:before="80" w:after="80"/>
              <w:rPr>
                <w:rFonts w:eastAsia="Times New Roman"/>
                <w:bCs/>
                <w:sz w:val="20"/>
                <w:szCs w:val="21"/>
                <w:lang w:eastAsia="en-GB"/>
              </w:rPr>
            </w:pPr>
            <w:r>
              <w:rPr>
                <w:rFonts w:eastAsia="Times New Roman"/>
                <w:sz w:val="20"/>
                <w:szCs w:val="21"/>
                <w:lang w:eastAsia="en-GB"/>
              </w:rPr>
              <w:t>N/A</w:t>
            </w:r>
          </w:p>
        </w:tc>
        <w:tc>
          <w:tcPr>
            <w:tcW w:w="2976" w:type="dxa"/>
          </w:tcPr>
          <w:p w14:paraId="66018539" w14:textId="77777777" w:rsidR="00625DB2" w:rsidRPr="00CF30E3" w:rsidRDefault="00625DB2" w:rsidP="00625DB2">
            <w:pPr>
              <w:spacing w:before="80" w:after="80"/>
              <w:rPr>
                <w:rFonts w:eastAsia="Times New Roman"/>
                <w:bCs/>
                <w:sz w:val="20"/>
                <w:szCs w:val="21"/>
                <w:lang w:eastAsia="en-GB"/>
              </w:rPr>
            </w:pPr>
          </w:p>
        </w:tc>
      </w:tr>
      <w:tr w:rsidR="00625DB2" w:rsidRPr="00CF30E3" w14:paraId="74276230" w14:textId="77777777" w:rsidTr="00684A8E">
        <w:tc>
          <w:tcPr>
            <w:tcW w:w="540" w:type="dxa"/>
          </w:tcPr>
          <w:p w14:paraId="149F59CE" w14:textId="77777777" w:rsidR="00625DB2" w:rsidRPr="00CF30E3" w:rsidRDefault="00625DB2" w:rsidP="00625DB2">
            <w:pPr>
              <w:spacing w:before="80" w:after="80"/>
              <w:rPr>
                <w:rFonts w:eastAsia="Times New Roman"/>
                <w:bCs/>
                <w:sz w:val="20"/>
                <w:szCs w:val="24"/>
                <w:lang w:eastAsia="en-GB"/>
              </w:rPr>
            </w:pPr>
          </w:p>
        </w:tc>
        <w:tc>
          <w:tcPr>
            <w:tcW w:w="4989" w:type="dxa"/>
          </w:tcPr>
          <w:p w14:paraId="4044E810" w14:textId="77777777" w:rsidR="00625DB2" w:rsidRPr="00CF30E3" w:rsidRDefault="00625DB2" w:rsidP="00625DB2">
            <w:pPr>
              <w:spacing w:before="80" w:after="80"/>
              <w:rPr>
                <w:rFonts w:eastAsia="Times New Roman"/>
                <w:bCs/>
                <w:sz w:val="20"/>
                <w:szCs w:val="21"/>
                <w:lang w:eastAsia="en-GB"/>
              </w:rPr>
            </w:pPr>
            <w:r w:rsidRPr="00CF30E3">
              <w:rPr>
                <w:rFonts w:eastAsia="Times New Roman"/>
                <w:sz w:val="20"/>
                <w:szCs w:val="21"/>
                <w:lang w:eastAsia="en-GB"/>
              </w:rPr>
              <w:t xml:space="preserve">If it is a clinical policy/procedure has it been reviewed by the Clinical Guidelines Group? </w:t>
            </w:r>
          </w:p>
        </w:tc>
        <w:tc>
          <w:tcPr>
            <w:tcW w:w="1170" w:type="dxa"/>
          </w:tcPr>
          <w:p w14:paraId="2E877871" w14:textId="77777777" w:rsidR="00625DB2" w:rsidRPr="00CF30E3" w:rsidRDefault="00625DB2" w:rsidP="00625DB2">
            <w:pPr>
              <w:spacing w:before="80" w:after="80"/>
              <w:rPr>
                <w:rFonts w:eastAsia="Times New Roman"/>
                <w:bCs/>
                <w:sz w:val="20"/>
                <w:szCs w:val="21"/>
                <w:lang w:eastAsia="en-GB"/>
              </w:rPr>
            </w:pPr>
          </w:p>
        </w:tc>
        <w:tc>
          <w:tcPr>
            <w:tcW w:w="2976" w:type="dxa"/>
          </w:tcPr>
          <w:p w14:paraId="1E245D98" w14:textId="77777777" w:rsidR="00625DB2" w:rsidRPr="00CF30E3" w:rsidRDefault="00625DB2" w:rsidP="00625DB2">
            <w:pPr>
              <w:spacing w:before="80" w:after="80"/>
              <w:rPr>
                <w:rFonts w:eastAsia="Times New Roman"/>
                <w:bCs/>
                <w:sz w:val="20"/>
                <w:szCs w:val="21"/>
                <w:lang w:eastAsia="en-GB"/>
              </w:rPr>
            </w:pPr>
          </w:p>
        </w:tc>
      </w:tr>
      <w:tr w:rsidR="00625DB2" w:rsidRPr="00CF30E3" w14:paraId="0E4907EC" w14:textId="77777777" w:rsidTr="00684A8E">
        <w:tc>
          <w:tcPr>
            <w:tcW w:w="540" w:type="dxa"/>
          </w:tcPr>
          <w:p w14:paraId="25EEC0B4" w14:textId="77777777" w:rsidR="00625DB2" w:rsidRPr="00CF30E3" w:rsidRDefault="00625DB2" w:rsidP="00625DB2">
            <w:pPr>
              <w:spacing w:before="80" w:after="80"/>
              <w:rPr>
                <w:rFonts w:eastAsia="Times New Roman"/>
                <w:bCs/>
                <w:sz w:val="20"/>
                <w:szCs w:val="24"/>
                <w:lang w:eastAsia="en-GB"/>
              </w:rPr>
            </w:pPr>
          </w:p>
        </w:tc>
        <w:tc>
          <w:tcPr>
            <w:tcW w:w="4989" w:type="dxa"/>
          </w:tcPr>
          <w:p w14:paraId="53637735" w14:textId="77777777" w:rsidR="00625DB2" w:rsidRPr="00CF30E3" w:rsidRDefault="00625DB2" w:rsidP="00625DB2">
            <w:pPr>
              <w:spacing w:before="80" w:after="80"/>
              <w:rPr>
                <w:rFonts w:eastAsia="Times New Roman"/>
                <w:bCs/>
                <w:sz w:val="20"/>
                <w:szCs w:val="21"/>
                <w:lang w:eastAsia="en-GB"/>
              </w:rPr>
            </w:pPr>
            <w:r w:rsidRPr="00CF30E3">
              <w:rPr>
                <w:rFonts w:eastAsia="Times New Roman"/>
                <w:sz w:val="20"/>
                <w:szCs w:val="21"/>
                <w:lang w:eastAsia="en-GB"/>
              </w:rPr>
              <w:t xml:space="preserve">Has it been reviewed by </w:t>
            </w:r>
            <w:r>
              <w:rPr>
                <w:rFonts w:eastAsia="Times New Roman"/>
                <w:sz w:val="20"/>
                <w:szCs w:val="21"/>
                <w:lang w:eastAsia="en-GB"/>
              </w:rPr>
              <w:t>the counter fraud team?</w:t>
            </w:r>
          </w:p>
        </w:tc>
        <w:tc>
          <w:tcPr>
            <w:tcW w:w="1170" w:type="dxa"/>
          </w:tcPr>
          <w:p w14:paraId="29E1007A" w14:textId="77777777" w:rsidR="00625DB2" w:rsidRPr="00CF30E3" w:rsidRDefault="00625DB2" w:rsidP="00625DB2">
            <w:pPr>
              <w:spacing w:before="80" w:after="80"/>
              <w:rPr>
                <w:rFonts w:eastAsia="Times New Roman"/>
                <w:bCs/>
                <w:sz w:val="20"/>
                <w:szCs w:val="21"/>
                <w:lang w:eastAsia="en-GB"/>
              </w:rPr>
            </w:pPr>
            <w:r>
              <w:rPr>
                <w:rFonts w:eastAsia="Times New Roman"/>
                <w:sz w:val="20"/>
                <w:szCs w:val="21"/>
                <w:lang w:eastAsia="en-GB"/>
              </w:rPr>
              <w:t>No</w:t>
            </w:r>
          </w:p>
        </w:tc>
        <w:tc>
          <w:tcPr>
            <w:tcW w:w="2976" w:type="dxa"/>
          </w:tcPr>
          <w:p w14:paraId="37DC0217" w14:textId="77777777" w:rsidR="00625DB2" w:rsidRPr="00CF30E3" w:rsidRDefault="00625DB2" w:rsidP="00625DB2">
            <w:pPr>
              <w:spacing w:before="80" w:after="80"/>
              <w:rPr>
                <w:rFonts w:eastAsia="Times New Roman"/>
                <w:bCs/>
                <w:sz w:val="20"/>
                <w:szCs w:val="21"/>
                <w:lang w:eastAsia="en-GB"/>
              </w:rPr>
            </w:pPr>
          </w:p>
        </w:tc>
      </w:tr>
      <w:tr w:rsidR="00625DB2" w:rsidRPr="00CF30E3" w14:paraId="20B24C04" w14:textId="77777777" w:rsidTr="00684A8E">
        <w:tc>
          <w:tcPr>
            <w:tcW w:w="540" w:type="dxa"/>
          </w:tcPr>
          <w:p w14:paraId="22C19ADD" w14:textId="77777777" w:rsidR="00625DB2" w:rsidRPr="00CF30E3" w:rsidRDefault="00625DB2" w:rsidP="00625DB2">
            <w:pPr>
              <w:spacing w:before="80" w:after="80"/>
              <w:rPr>
                <w:rFonts w:eastAsia="Times New Roman"/>
                <w:b/>
                <w:bCs/>
                <w:sz w:val="20"/>
                <w:szCs w:val="24"/>
                <w:lang w:eastAsia="en-GB"/>
              </w:rPr>
            </w:pPr>
            <w:r w:rsidRPr="00CF30E3">
              <w:rPr>
                <w:rFonts w:eastAsia="Times New Roman"/>
                <w:b/>
                <w:sz w:val="20"/>
                <w:szCs w:val="24"/>
                <w:lang w:eastAsia="en-GB"/>
              </w:rPr>
              <w:t>3.</w:t>
            </w:r>
          </w:p>
        </w:tc>
        <w:tc>
          <w:tcPr>
            <w:tcW w:w="4989" w:type="dxa"/>
          </w:tcPr>
          <w:p w14:paraId="785ED79D" w14:textId="77777777" w:rsidR="00625DB2" w:rsidRPr="00CF30E3" w:rsidRDefault="00625DB2" w:rsidP="00625DB2">
            <w:pPr>
              <w:spacing w:before="80" w:after="80"/>
              <w:rPr>
                <w:rFonts w:eastAsia="Times New Roman"/>
                <w:b/>
                <w:bCs/>
                <w:sz w:val="20"/>
                <w:szCs w:val="21"/>
                <w:lang w:eastAsia="en-GB"/>
              </w:rPr>
            </w:pPr>
            <w:r w:rsidRPr="00CF30E3">
              <w:rPr>
                <w:rFonts w:eastAsia="Times New Roman"/>
                <w:b/>
                <w:sz w:val="20"/>
                <w:szCs w:val="21"/>
                <w:lang w:eastAsia="en-GB"/>
              </w:rPr>
              <w:t>Dissemination and Implementation</w:t>
            </w:r>
          </w:p>
        </w:tc>
        <w:tc>
          <w:tcPr>
            <w:tcW w:w="1170" w:type="dxa"/>
            <w:shd w:val="clear" w:color="auto" w:fill="E0E0E0"/>
          </w:tcPr>
          <w:p w14:paraId="69829F3D" w14:textId="77777777" w:rsidR="00625DB2" w:rsidRPr="00CF30E3" w:rsidRDefault="00625DB2" w:rsidP="00625DB2">
            <w:pPr>
              <w:spacing w:before="80" w:after="80"/>
              <w:rPr>
                <w:rFonts w:eastAsia="Times New Roman"/>
                <w:bCs/>
                <w:sz w:val="20"/>
                <w:szCs w:val="21"/>
                <w:lang w:eastAsia="en-GB"/>
              </w:rPr>
            </w:pPr>
          </w:p>
        </w:tc>
        <w:tc>
          <w:tcPr>
            <w:tcW w:w="2976" w:type="dxa"/>
            <w:shd w:val="clear" w:color="auto" w:fill="E0E0E0"/>
          </w:tcPr>
          <w:p w14:paraId="5323D514" w14:textId="77777777" w:rsidR="00625DB2" w:rsidRPr="00CF30E3" w:rsidRDefault="00625DB2" w:rsidP="00625DB2">
            <w:pPr>
              <w:spacing w:before="80" w:after="80"/>
              <w:rPr>
                <w:rFonts w:eastAsia="Times New Roman"/>
                <w:bCs/>
                <w:sz w:val="20"/>
                <w:szCs w:val="21"/>
                <w:lang w:eastAsia="en-GB"/>
              </w:rPr>
            </w:pPr>
          </w:p>
        </w:tc>
      </w:tr>
      <w:tr w:rsidR="00625DB2" w:rsidRPr="00CF30E3" w14:paraId="75DCEA95" w14:textId="77777777" w:rsidTr="00684A8E">
        <w:tc>
          <w:tcPr>
            <w:tcW w:w="540" w:type="dxa"/>
          </w:tcPr>
          <w:p w14:paraId="731AF092" w14:textId="77777777" w:rsidR="00625DB2" w:rsidRPr="00CF30E3" w:rsidRDefault="00625DB2" w:rsidP="00625DB2">
            <w:pPr>
              <w:spacing w:before="80" w:after="80"/>
              <w:rPr>
                <w:rFonts w:eastAsia="Times New Roman"/>
                <w:bCs/>
                <w:sz w:val="20"/>
                <w:szCs w:val="24"/>
                <w:lang w:eastAsia="en-GB"/>
              </w:rPr>
            </w:pPr>
          </w:p>
        </w:tc>
        <w:tc>
          <w:tcPr>
            <w:tcW w:w="4989" w:type="dxa"/>
          </w:tcPr>
          <w:p w14:paraId="6B8BF6F0" w14:textId="77777777" w:rsidR="00625DB2" w:rsidRPr="00CF30E3" w:rsidRDefault="00625DB2" w:rsidP="00625DB2">
            <w:pPr>
              <w:spacing w:before="80" w:after="80"/>
              <w:rPr>
                <w:rFonts w:eastAsia="Times New Roman"/>
                <w:bCs/>
                <w:sz w:val="20"/>
                <w:szCs w:val="21"/>
                <w:lang w:eastAsia="en-GB"/>
              </w:rPr>
            </w:pPr>
            <w:r w:rsidRPr="00CF30E3">
              <w:rPr>
                <w:rFonts w:eastAsia="Times New Roman"/>
                <w:sz w:val="20"/>
                <w:szCs w:val="21"/>
                <w:lang w:eastAsia="en-GB"/>
              </w:rPr>
              <w:t>Is there a communications plan to identify how it will be communicated and implemented? The Communications Team can help you with advice.</w:t>
            </w:r>
          </w:p>
        </w:tc>
        <w:tc>
          <w:tcPr>
            <w:tcW w:w="1170" w:type="dxa"/>
          </w:tcPr>
          <w:p w14:paraId="738D5696" w14:textId="77777777" w:rsidR="00625DB2" w:rsidRPr="00CF30E3" w:rsidRDefault="00625DB2" w:rsidP="00625DB2">
            <w:pPr>
              <w:spacing w:before="80" w:after="80"/>
              <w:rPr>
                <w:rFonts w:eastAsia="Times New Roman"/>
                <w:bCs/>
                <w:sz w:val="20"/>
                <w:szCs w:val="21"/>
                <w:lang w:eastAsia="en-GB"/>
              </w:rPr>
            </w:pPr>
            <w:r>
              <w:rPr>
                <w:rFonts w:eastAsia="Times New Roman"/>
                <w:sz w:val="20"/>
                <w:szCs w:val="21"/>
                <w:lang w:eastAsia="en-GB"/>
              </w:rPr>
              <w:t>Yes</w:t>
            </w:r>
          </w:p>
        </w:tc>
        <w:tc>
          <w:tcPr>
            <w:tcW w:w="2976" w:type="dxa"/>
          </w:tcPr>
          <w:p w14:paraId="103FAD02" w14:textId="77777777" w:rsidR="00625DB2" w:rsidRPr="00CF30E3" w:rsidRDefault="00625DB2" w:rsidP="00625DB2">
            <w:pPr>
              <w:spacing w:before="80" w:after="80"/>
              <w:rPr>
                <w:rFonts w:eastAsia="Times New Roman"/>
                <w:bCs/>
                <w:sz w:val="20"/>
                <w:szCs w:val="21"/>
                <w:lang w:eastAsia="en-GB"/>
              </w:rPr>
            </w:pPr>
          </w:p>
        </w:tc>
      </w:tr>
      <w:tr w:rsidR="00625DB2" w:rsidRPr="00CF30E3" w14:paraId="22F63C97" w14:textId="77777777" w:rsidTr="00684A8E">
        <w:tc>
          <w:tcPr>
            <w:tcW w:w="540" w:type="dxa"/>
          </w:tcPr>
          <w:p w14:paraId="3720538F" w14:textId="77777777" w:rsidR="00625DB2" w:rsidRPr="00CF30E3" w:rsidRDefault="00625DB2" w:rsidP="00625DB2">
            <w:pPr>
              <w:spacing w:before="80" w:after="80"/>
              <w:rPr>
                <w:rFonts w:eastAsia="Times New Roman"/>
                <w:b/>
                <w:bCs/>
                <w:sz w:val="20"/>
                <w:szCs w:val="24"/>
                <w:lang w:eastAsia="en-GB"/>
              </w:rPr>
            </w:pPr>
            <w:r w:rsidRPr="00CF30E3">
              <w:rPr>
                <w:rFonts w:eastAsia="Times New Roman"/>
                <w:b/>
                <w:sz w:val="20"/>
                <w:szCs w:val="24"/>
                <w:lang w:eastAsia="en-GB"/>
              </w:rPr>
              <w:t>4.</w:t>
            </w:r>
          </w:p>
        </w:tc>
        <w:tc>
          <w:tcPr>
            <w:tcW w:w="4989" w:type="dxa"/>
          </w:tcPr>
          <w:p w14:paraId="6E32717C" w14:textId="77777777" w:rsidR="00625DB2" w:rsidRPr="00CF30E3" w:rsidRDefault="00625DB2" w:rsidP="00625DB2">
            <w:pPr>
              <w:spacing w:before="80" w:after="80"/>
              <w:rPr>
                <w:rFonts w:eastAsia="Times New Roman"/>
                <w:b/>
                <w:bCs/>
                <w:sz w:val="20"/>
                <w:szCs w:val="21"/>
                <w:lang w:eastAsia="en-GB"/>
              </w:rPr>
            </w:pPr>
            <w:r w:rsidRPr="00CF30E3">
              <w:rPr>
                <w:rFonts w:eastAsia="Times New Roman"/>
                <w:b/>
                <w:sz w:val="20"/>
                <w:szCs w:val="21"/>
                <w:lang w:eastAsia="en-GB"/>
              </w:rPr>
              <w:t>Process to Monitor Compliance and Effectiveness</w:t>
            </w:r>
          </w:p>
        </w:tc>
        <w:tc>
          <w:tcPr>
            <w:tcW w:w="1170" w:type="dxa"/>
            <w:shd w:val="clear" w:color="auto" w:fill="E0E0E0"/>
          </w:tcPr>
          <w:p w14:paraId="20388867" w14:textId="77777777" w:rsidR="00625DB2" w:rsidRPr="00CF30E3" w:rsidRDefault="00625DB2" w:rsidP="00625DB2">
            <w:pPr>
              <w:spacing w:before="80" w:after="80"/>
              <w:rPr>
                <w:rFonts w:eastAsia="Times New Roman"/>
                <w:bCs/>
                <w:sz w:val="20"/>
                <w:szCs w:val="21"/>
                <w:lang w:eastAsia="en-GB"/>
              </w:rPr>
            </w:pPr>
          </w:p>
        </w:tc>
        <w:tc>
          <w:tcPr>
            <w:tcW w:w="2976" w:type="dxa"/>
            <w:shd w:val="clear" w:color="auto" w:fill="E0E0E0"/>
          </w:tcPr>
          <w:p w14:paraId="33D58FB1" w14:textId="77777777" w:rsidR="00625DB2" w:rsidRPr="00CF30E3" w:rsidRDefault="00625DB2" w:rsidP="00625DB2">
            <w:pPr>
              <w:spacing w:before="80" w:after="80"/>
              <w:rPr>
                <w:rFonts w:eastAsia="Times New Roman"/>
                <w:bCs/>
                <w:sz w:val="20"/>
                <w:szCs w:val="21"/>
                <w:lang w:eastAsia="en-GB"/>
              </w:rPr>
            </w:pPr>
          </w:p>
        </w:tc>
      </w:tr>
      <w:tr w:rsidR="00625DB2" w:rsidRPr="00CF30E3" w14:paraId="26B0B27F" w14:textId="77777777" w:rsidTr="00684A8E">
        <w:tc>
          <w:tcPr>
            <w:tcW w:w="540" w:type="dxa"/>
          </w:tcPr>
          <w:p w14:paraId="5B7F24AD" w14:textId="77777777" w:rsidR="00625DB2" w:rsidRPr="00CF30E3" w:rsidRDefault="00625DB2" w:rsidP="00625DB2">
            <w:pPr>
              <w:spacing w:before="80" w:after="80"/>
              <w:rPr>
                <w:rFonts w:eastAsia="Times New Roman"/>
                <w:bCs/>
                <w:sz w:val="20"/>
                <w:szCs w:val="24"/>
                <w:lang w:eastAsia="en-GB"/>
              </w:rPr>
            </w:pPr>
          </w:p>
        </w:tc>
        <w:tc>
          <w:tcPr>
            <w:tcW w:w="4989" w:type="dxa"/>
          </w:tcPr>
          <w:p w14:paraId="37AEE70D" w14:textId="77777777" w:rsidR="00625DB2" w:rsidRPr="00CF30E3" w:rsidRDefault="00625DB2" w:rsidP="00625DB2">
            <w:pPr>
              <w:spacing w:before="80" w:after="80"/>
              <w:rPr>
                <w:rFonts w:eastAsia="Times New Roman"/>
                <w:bCs/>
                <w:sz w:val="20"/>
                <w:szCs w:val="21"/>
                <w:lang w:eastAsia="en-GB"/>
              </w:rPr>
            </w:pPr>
            <w:r w:rsidRPr="00CF30E3">
              <w:rPr>
                <w:rFonts w:eastAsia="Times New Roman"/>
                <w:sz w:val="20"/>
                <w:szCs w:val="21"/>
                <w:lang w:eastAsia="en-GB"/>
              </w:rPr>
              <w:t>Is there a monitoring table setting out measurable standards or KPIs together with  clear monitoring and reporting mechanisms (to ensure there is assurance of implementation)</w:t>
            </w:r>
          </w:p>
        </w:tc>
        <w:tc>
          <w:tcPr>
            <w:tcW w:w="1170" w:type="dxa"/>
          </w:tcPr>
          <w:p w14:paraId="4BE2AE45" w14:textId="77777777" w:rsidR="00625DB2" w:rsidRPr="00CF30E3" w:rsidRDefault="00625DB2" w:rsidP="00625DB2">
            <w:pPr>
              <w:spacing w:before="80" w:after="80"/>
              <w:rPr>
                <w:rFonts w:eastAsia="Times New Roman"/>
                <w:bCs/>
                <w:sz w:val="20"/>
                <w:szCs w:val="21"/>
                <w:lang w:eastAsia="en-GB"/>
              </w:rPr>
            </w:pPr>
            <w:r>
              <w:rPr>
                <w:rFonts w:eastAsia="Times New Roman"/>
                <w:sz w:val="20"/>
                <w:szCs w:val="21"/>
                <w:lang w:eastAsia="en-GB"/>
              </w:rPr>
              <w:t>yes</w:t>
            </w:r>
          </w:p>
        </w:tc>
        <w:tc>
          <w:tcPr>
            <w:tcW w:w="2976" w:type="dxa"/>
          </w:tcPr>
          <w:p w14:paraId="52447105" w14:textId="77777777" w:rsidR="00625DB2" w:rsidRPr="00CF30E3" w:rsidRDefault="00625DB2" w:rsidP="00625DB2">
            <w:pPr>
              <w:spacing w:before="80" w:after="80"/>
              <w:rPr>
                <w:rFonts w:eastAsia="Times New Roman"/>
                <w:bCs/>
                <w:sz w:val="20"/>
                <w:szCs w:val="21"/>
                <w:lang w:eastAsia="en-GB"/>
              </w:rPr>
            </w:pPr>
          </w:p>
        </w:tc>
      </w:tr>
      <w:tr w:rsidR="00625DB2" w:rsidRPr="00CF30E3" w14:paraId="0696E9C2" w14:textId="77777777" w:rsidTr="00684A8E">
        <w:tc>
          <w:tcPr>
            <w:tcW w:w="540" w:type="dxa"/>
          </w:tcPr>
          <w:p w14:paraId="63BC7845" w14:textId="77777777" w:rsidR="00625DB2" w:rsidRPr="00CF30E3" w:rsidRDefault="00625DB2" w:rsidP="00625DB2">
            <w:pPr>
              <w:spacing w:before="80" w:after="80"/>
              <w:rPr>
                <w:rFonts w:eastAsia="Times New Roman"/>
                <w:b/>
                <w:bCs/>
                <w:sz w:val="20"/>
                <w:szCs w:val="24"/>
                <w:lang w:eastAsia="en-GB"/>
              </w:rPr>
            </w:pPr>
            <w:r w:rsidRPr="00CF30E3">
              <w:rPr>
                <w:rFonts w:eastAsia="Times New Roman"/>
                <w:b/>
                <w:sz w:val="20"/>
                <w:szCs w:val="24"/>
                <w:lang w:eastAsia="en-GB"/>
              </w:rPr>
              <w:t>5.</w:t>
            </w:r>
          </w:p>
        </w:tc>
        <w:tc>
          <w:tcPr>
            <w:tcW w:w="4989" w:type="dxa"/>
          </w:tcPr>
          <w:p w14:paraId="505EC981" w14:textId="77777777" w:rsidR="00625DB2" w:rsidRPr="00CF30E3" w:rsidRDefault="00625DB2" w:rsidP="00625DB2">
            <w:pPr>
              <w:spacing w:before="80" w:after="80"/>
              <w:rPr>
                <w:rFonts w:eastAsia="Times New Roman"/>
                <w:b/>
                <w:bCs/>
                <w:sz w:val="20"/>
                <w:szCs w:val="21"/>
                <w:lang w:eastAsia="en-GB"/>
              </w:rPr>
            </w:pPr>
            <w:r w:rsidRPr="00CF30E3">
              <w:rPr>
                <w:rFonts w:eastAsia="Times New Roman"/>
                <w:b/>
                <w:sz w:val="20"/>
                <w:szCs w:val="21"/>
                <w:lang w:eastAsia="en-GB"/>
              </w:rPr>
              <w:t>Review Date</w:t>
            </w:r>
          </w:p>
        </w:tc>
        <w:tc>
          <w:tcPr>
            <w:tcW w:w="1170" w:type="dxa"/>
            <w:shd w:val="clear" w:color="auto" w:fill="E0E0E0"/>
          </w:tcPr>
          <w:p w14:paraId="5F653CEB" w14:textId="77777777" w:rsidR="00625DB2" w:rsidRPr="00CF30E3" w:rsidRDefault="00625DB2" w:rsidP="00625DB2">
            <w:pPr>
              <w:spacing w:before="80" w:after="80"/>
              <w:rPr>
                <w:rFonts w:eastAsia="Times New Roman"/>
                <w:bCs/>
                <w:sz w:val="20"/>
                <w:szCs w:val="21"/>
                <w:lang w:eastAsia="en-GB"/>
              </w:rPr>
            </w:pPr>
          </w:p>
        </w:tc>
        <w:tc>
          <w:tcPr>
            <w:tcW w:w="2976" w:type="dxa"/>
            <w:shd w:val="clear" w:color="auto" w:fill="E0E0E0"/>
          </w:tcPr>
          <w:p w14:paraId="49DEE228" w14:textId="77777777" w:rsidR="00625DB2" w:rsidRPr="00CF30E3" w:rsidRDefault="00625DB2" w:rsidP="00625DB2">
            <w:pPr>
              <w:spacing w:before="80" w:after="80"/>
              <w:rPr>
                <w:rFonts w:eastAsia="Times New Roman"/>
                <w:bCs/>
                <w:sz w:val="20"/>
                <w:szCs w:val="21"/>
                <w:lang w:eastAsia="en-GB"/>
              </w:rPr>
            </w:pPr>
          </w:p>
        </w:tc>
      </w:tr>
      <w:tr w:rsidR="00625DB2" w:rsidRPr="00CF30E3" w14:paraId="26BA0CB7" w14:textId="77777777" w:rsidTr="00684A8E">
        <w:tc>
          <w:tcPr>
            <w:tcW w:w="540" w:type="dxa"/>
          </w:tcPr>
          <w:p w14:paraId="6692670E" w14:textId="77777777" w:rsidR="00625DB2" w:rsidRPr="00CF30E3" w:rsidRDefault="00625DB2" w:rsidP="00625DB2">
            <w:pPr>
              <w:spacing w:before="80" w:after="80"/>
              <w:rPr>
                <w:rFonts w:eastAsia="Times New Roman"/>
                <w:bCs/>
                <w:sz w:val="22"/>
                <w:szCs w:val="24"/>
                <w:lang w:eastAsia="en-GB"/>
              </w:rPr>
            </w:pPr>
          </w:p>
        </w:tc>
        <w:tc>
          <w:tcPr>
            <w:tcW w:w="4989" w:type="dxa"/>
          </w:tcPr>
          <w:p w14:paraId="19886B0A" w14:textId="77777777" w:rsidR="00625DB2" w:rsidRPr="00CF30E3" w:rsidRDefault="00625DB2" w:rsidP="00625DB2">
            <w:pPr>
              <w:spacing w:before="80" w:after="80"/>
              <w:rPr>
                <w:rFonts w:eastAsia="Times New Roman"/>
                <w:bCs/>
                <w:sz w:val="20"/>
                <w:szCs w:val="21"/>
                <w:lang w:eastAsia="en-GB"/>
              </w:rPr>
            </w:pPr>
            <w:r w:rsidRPr="00CF30E3">
              <w:rPr>
                <w:rFonts w:eastAsia="Times New Roman"/>
                <w:sz w:val="20"/>
                <w:szCs w:val="21"/>
                <w:lang w:eastAsia="en-GB"/>
              </w:rPr>
              <w:t>Is the review date in 2 years? If not is there a justified reason?</w:t>
            </w:r>
          </w:p>
        </w:tc>
        <w:tc>
          <w:tcPr>
            <w:tcW w:w="1170" w:type="dxa"/>
          </w:tcPr>
          <w:p w14:paraId="217F2824" w14:textId="77777777" w:rsidR="00625DB2" w:rsidRPr="00CF30E3" w:rsidRDefault="00625DB2" w:rsidP="00625DB2">
            <w:pPr>
              <w:spacing w:before="80" w:after="80"/>
              <w:rPr>
                <w:rFonts w:eastAsia="Times New Roman"/>
                <w:bCs/>
                <w:sz w:val="20"/>
                <w:szCs w:val="21"/>
                <w:lang w:eastAsia="en-GB"/>
              </w:rPr>
            </w:pPr>
            <w:r>
              <w:rPr>
                <w:rFonts w:eastAsia="Times New Roman"/>
                <w:sz w:val="20"/>
                <w:szCs w:val="21"/>
                <w:lang w:eastAsia="en-GB"/>
              </w:rPr>
              <w:t>Yes</w:t>
            </w:r>
          </w:p>
        </w:tc>
        <w:tc>
          <w:tcPr>
            <w:tcW w:w="2976" w:type="dxa"/>
          </w:tcPr>
          <w:p w14:paraId="2633A7D3" w14:textId="77777777" w:rsidR="00625DB2" w:rsidRPr="00CF30E3" w:rsidRDefault="00625DB2" w:rsidP="00625DB2">
            <w:pPr>
              <w:spacing w:before="80" w:after="80"/>
              <w:rPr>
                <w:rFonts w:eastAsia="Times New Roman"/>
                <w:bCs/>
                <w:sz w:val="20"/>
                <w:szCs w:val="21"/>
                <w:lang w:eastAsia="en-GB"/>
              </w:rPr>
            </w:pPr>
          </w:p>
        </w:tc>
      </w:tr>
    </w:tbl>
    <w:p w14:paraId="4A8691C3" w14:textId="77777777" w:rsidR="007B1052" w:rsidRPr="00CF30E3" w:rsidRDefault="007B1052" w:rsidP="007B1052">
      <w:pPr>
        <w:rPr>
          <w:rFonts w:eastAsia="Times New Roman"/>
          <w:bCs/>
          <w:szCs w:val="24"/>
          <w:lang w:eastAsia="en-GB"/>
        </w:rPr>
      </w:pPr>
    </w:p>
    <w:p w14:paraId="2792B20B" w14:textId="77777777" w:rsidR="007B1052" w:rsidRPr="00CF30E3" w:rsidRDefault="007B1052" w:rsidP="007B1052">
      <w:pPr>
        <w:spacing w:before="200" w:after="200"/>
        <w:outlineLvl w:val="0"/>
        <w:rPr>
          <w:rFonts w:eastAsia="Times New Roman"/>
          <w:b/>
          <w:bCs/>
          <w:szCs w:val="24"/>
          <w:lang w:eastAsia="en-GB"/>
        </w:rPr>
      </w:pPr>
      <w:r w:rsidRPr="00CF30E3">
        <w:rPr>
          <w:rFonts w:eastAsia="Times New Roman"/>
          <w:b/>
          <w:szCs w:val="24"/>
          <w:lang w:eastAsia="en-GB"/>
        </w:rPr>
        <w:t>If the document needs urgent approval before all of the above are satisfactorily addressed, please bring this to the attention of the appropriate committee so conditional approval can be given.</w:t>
      </w:r>
    </w:p>
    <w:p w14:paraId="41C51F6C" w14:textId="77777777" w:rsidR="007B1052" w:rsidRPr="00CF30E3" w:rsidRDefault="007B1052" w:rsidP="007B1052">
      <w:pPr>
        <w:rPr>
          <w:rFonts w:eastAsia="Times New Roman"/>
          <w:bCs/>
          <w:szCs w:val="24"/>
          <w:lang w:eastAsia="en-GB"/>
        </w:rPr>
      </w:pPr>
    </w:p>
    <w:tbl>
      <w:tblPr>
        <w:tblW w:w="9639"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440"/>
        <w:gridCol w:w="4140"/>
        <w:gridCol w:w="1260"/>
        <w:gridCol w:w="2799"/>
      </w:tblGrid>
      <w:tr w:rsidR="007B1052" w:rsidRPr="00CF30E3" w14:paraId="018A8421" w14:textId="77777777" w:rsidTr="00684A8E">
        <w:tc>
          <w:tcPr>
            <w:tcW w:w="9639" w:type="dxa"/>
            <w:gridSpan w:val="4"/>
          </w:tcPr>
          <w:p w14:paraId="42533A64" w14:textId="77777777" w:rsidR="007B1052" w:rsidRPr="00CF30E3" w:rsidRDefault="00CE1017" w:rsidP="007B1052">
            <w:pPr>
              <w:spacing w:before="40" w:after="40"/>
              <w:rPr>
                <w:rFonts w:eastAsia="Times New Roman"/>
                <w:b/>
                <w:bCs/>
                <w:szCs w:val="24"/>
                <w:lang w:eastAsia="en-GB"/>
              </w:rPr>
            </w:pPr>
            <w:r w:rsidRPr="00CF30E3">
              <w:rPr>
                <w:rFonts w:eastAsia="Times New Roman"/>
                <w:b/>
                <w:szCs w:val="24"/>
                <w:lang w:eastAsia="en-GB"/>
              </w:rPr>
              <w:t>Endorsement from appropriate group(s)</w:t>
            </w:r>
          </w:p>
          <w:p w14:paraId="0DF3E519" w14:textId="77777777" w:rsidR="00CE1017" w:rsidRPr="00CF30E3" w:rsidRDefault="00CE1017" w:rsidP="007B1052">
            <w:pPr>
              <w:spacing w:before="40" w:after="40"/>
              <w:rPr>
                <w:rFonts w:eastAsia="Times New Roman"/>
                <w:b/>
                <w:bCs/>
                <w:szCs w:val="24"/>
                <w:lang w:eastAsia="en-GB"/>
              </w:rPr>
            </w:pPr>
            <w:r w:rsidRPr="00CF30E3">
              <w:rPr>
                <w:rFonts w:eastAsia="Times New Roman"/>
                <w:b/>
                <w:szCs w:val="24"/>
                <w:lang w:eastAsia="en-GB"/>
              </w:rPr>
              <w:t>(This will vary depending on content and nature of policy)</w:t>
            </w:r>
          </w:p>
          <w:p w14:paraId="60A8B098" w14:textId="77777777" w:rsidR="00CE1017" w:rsidRPr="00CF30E3" w:rsidRDefault="00CE1017" w:rsidP="007B1052">
            <w:pPr>
              <w:spacing w:before="40" w:after="40"/>
              <w:rPr>
                <w:rFonts w:eastAsia="Times New Roman"/>
                <w:bCs/>
                <w:szCs w:val="24"/>
                <w:lang w:eastAsia="en-GB"/>
              </w:rPr>
            </w:pPr>
            <w:r w:rsidRPr="00CF30E3">
              <w:rPr>
                <w:rFonts w:eastAsia="Times New Roman"/>
                <w:szCs w:val="24"/>
                <w:lang w:eastAsia="en-GB"/>
              </w:rPr>
              <w:t>For example, a policy relating to radiation should be considered by the radiation safety committee.</w:t>
            </w:r>
          </w:p>
          <w:p w14:paraId="428BA01E" w14:textId="77777777" w:rsidR="00CE1017" w:rsidRPr="00CF30E3" w:rsidRDefault="00CE1017" w:rsidP="007B1052">
            <w:pPr>
              <w:spacing w:before="40" w:after="40"/>
              <w:rPr>
                <w:rFonts w:eastAsia="Times New Roman"/>
                <w:bCs/>
                <w:szCs w:val="24"/>
                <w:lang w:eastAsia="en-GB"/>
              </w:rPr>
            </w:pPr>
            <w:r w:rsidRPr="00CF30E3">
              <w:rPr>
                <w:rFonts w:eastAsia="Times New Roman"/>
                <w:szCs w:val="24"/>
                <w:lang w:eastAsia="en-GB"/>
              </w:rPr>
              <w:t>A staff policy should be reviewed by TCNC.</w:t>
            </w:r>
          </w:p>
        </w:tc>
      </w:tr>
      <w:tr w:rsidR="007B1052" w:rsidRPr="00CF30E3" w14:paraId="0682C1A7" w14:textId="77777777" w:rsidTr="00684A8E">
        <w:tc>
          <w:tcPr>
            <w:tcW w:w="9639" w:type="dxa"/>
            <w:gridSpan w:val="4"/>
          </w:tcPr>
          <w:p w14:paraId="39FBA8AD" w14:textId="77777777" w:rsidR="007B1052" w:rsidRPr="00CF30E3" w:rsidRDefault="007B1052" w:rsidP="007B1052">
            <w:pPr>
              <w:spacing w:before="40" w:after="40"/>
              <w:rPr>
                <w:rFonts w:eastAsia="Times New Roman"/>
                <w:bCs/>
                <w:szCs w:val="24"/>
                <w:lang w:eastAsia="en-GB"/>
              </w:rPr>
            </w:pPr>
            <w:r w:rsidRPr="00CF30E3">
              <w:rPr>
                <w:rFonts w:eastAsia="Times New Roman"/>
                <w:szCs w:val="24"/>
                <w:lang w:eastAsia="en-GB"/>
              </w:rPr>
              <w:t>If the committee is happy to approve this document, please sign and date it and forward copies to the person with responsibility for disseminating and implementing the document and the person who is responsible for maintaining the organisation’s database of approved documents.</w:t>
            </w:r>
          </w:p>
        </w:tc>
      </w:tr>
      <w:tr w:rsidR="007B1052" w:rsidRPr="00CF30E3" w14:paraId="607DCBD3" w14:textId="77777777" w:rsidTr="00684A8E">
        <w:tc>
          <w:tcPr>
            <w:tcW w:w="1440" w:type="dxa"/>
          </w:tcPr>
          <w:p w14:paraId="614BE993" w14:textId="77777777" w:rsidR="007B1052" w:rsidRPr="00CF30E3" w:rsidRDefault="00CE1017" w:rsidP="007B1052">
            <w:pPr>
              <w:spacing w:before="40" w:after="40"/>
              <w:rPr>
                <w:rFonts w:eastAsia="Times New Roman"/>
                <w:bCs/>
                <w:szCs w:val="24"/>
                <w:lang w:eastAsia="en-GB"/>
              </w:rPr>
            </w:pPr>
            <w:r w:rsidRPr="00CF30E3">
              <w:rPr>
                <w:rFonts w:eastAsia="Times New Roman"/>
                <w:szCs w:val="24"/>
                <w:lang w:eastAsia="en-GB"/>
              </w:rPr>
              <w:t>Group</w:t>
            </w:r>
          </w:p>
        </w:tc>
        <w:tc>
          <w:tcPr>
            <w:tcW w:w="4140" w:type="dxa"/>
          </w:tcPr>
          <w:p w14:paraId="384C984D" w14:textId="77777777" w:rsidR="007B1052" w:rsidRPr="00CF30E3" w:rsidRDefault="007B1052" w:rsidP="007B1052">
            <w:pPr>
              <w:spacing w:before="40" w:after="40"/>
              <w:rPr>
                <w:rFonts w:eastAsia="Times New Roman"/>
                <w:bCs/>
                <w:szCs w:val="24"/>
                <w:lang w:eastAsia="en-GB"/>
              </w:rPr>
            </w:pPr>
          </w:p>
        </w:tc>
        <w:tc>
          <w:tcPr>
            <w:tcW w:w="1260" w:type="dxa"/>
          </w:tcPr>
          <w:p w14:paraId="6D7B8B06" w14:textId="77777777" w:rsidR="007B1052" w:rsidRPr="00CF30E3" w:rsidRDefault="007B1052" w:rsidP="007B1052">
            <w:pPr>
              <w:spacing w:before="40" w:after="40"/>
              <w:rPr>
                <w:rFonts w:eastAsia="Times New Roman"/>
                <w:bCs/>
                <w:szCs w:val="24"/>
                <w:lang w:eastAsia="en-GB"/>
              </w:rPr>
            </w:pPr>
            <w:r w:rsidRPr="00CF30E3">
              <w:rPr>
                <w:rFonts w:eastAsia="Times New Roman"/>
                <w:szCs w:val="24"/>
                <w:lang w:eastAsia="en-GB"/>
              </w:rPr>
              <w:t>Date</w:t>
            </w:r>
          </w:p>
        </w:tc>
        <w:tc>
          <w:tcPr>
            <w:tcW w:w="2799" w:type="dxa"/>
          </w:tcPr>
          <w:p w14:paraId="37916934" w14:textId="77777777" w:rsidR="007B1052" w:rsidRPr="00CF30E3" w:rsidRDefault="007B1052" w:rsidP="007B1052">
            <w:pPr>
              <w:spacing w:before="40" w:after="40"/>
              <w:rPr>
                <w:rFonts w:eastAsia="Times New Roman"/>
                <w:bCs/>
                <w:szCs w:val="24"/>
                <w:lang w:eastAsia="en-GB"/>
              </w:rPr>
            </w:pPr>
          </w:p>
        </w:tc>
      </w:tr>
      <w:tr w:rsidR="007B1052" w:rsidRPr="00CF30E3" w14:paraId="153E5C82" w14:textId="77777777" w:rsidTr="00684A8E">
        <w:tc>
          <w:tcPr>
            <w:tcW w:w="1440" w:type="dxa"/>
          </w:tcPr>
          <w:p w14:paraId="550158FC" w14:textId="77777777" w:rsidR="007B1052" w:rsidRPr="00CF30E3" w:rsidRDefault="00CE1017" w:rsidP="007B1052">
            <w:pPr>
              <w:spacing w:before="40" w:after="40"/>
              <w:rPr>
                <w:rFonts w:eastAsia="Times New Roman"/>
                <w:bCs/>
                <w:szCs w:val="24"/>
                <w:lang w:eastAsia="en-GB"/>
              </w:rPr>
            </w:pPr>
            <w:r w:rsidRPr="00CF30E3">
              <w:rPr>
                <w:rFonts w:eastAsia="Times New Roman"/>
                <w:szCs w:val="24"/>
                <w:lang w:eastAsia="en-GB"/>
              </w:rPr>
              <w:t>Group</w:t>
            </w:r>
          </w:p>
        </w:tc>
        <w:tc>
          <w:tcPr>
            <w:tcW w:w="4140" w:type="dxa"/>
          </w:tcPr>
          <w:p w14:paraId="2FBF94A3" w14:textId="77777777" w:rsidR="007B1052" w:rsidRPr="00CF30E3" w:rsidRDefault="007B1052" w:rsidP="007B1052">
            <w:pPr>
              <w:spacing w:before="40" w:after="40"/>
              <w:rPr>
                <w:rFonts w:eastAsia="Times New Roman"/>
                <w:bCs/>
                <w:szCs w:val="24"/>
                <w:lang w:eastAsia="en-GB"/>
              </w:rPr>
            </w:pPr>
          </w:p>
        </w:tc>
        <w:tc>
          <w:tcPr>
            <w:tcW w:w="1260" w:type="dxa"/>
          </w:tcPr>
          <w:p w14:paraId="63B609EE" w14:textId="77777777" w:rsidR="007B1052" w:rsidRPr="00CF30E3" w:rsidRDefault="007B1052" w:rsidP="007B1052">
            <w:pPr>
              <w:spacing w:before="40" w:after="40"/>
              <w:rPr>
                <w:rFonts w:eastAsia="Times New Roman"/>
                <w:bCs/>
                <w:szCs w:val="24"/>
                <w:lang w:eastAsia="en-GB"/>
              </w:rPr>
            </w:pPr>
            <w:r w:rsidRPr="00CF30E3">
              <w:rPr>
                <w:rFonts w:eastAsia="Times New Roman"/>
                <w:szCs w:val="24"/>
                <w:lang w:eastAsia="en-GB"/>
              </w:rPr>
              <w:t>Date</w:t>
            </w:r>
          </w:p>
        </w:tc>
        <w:tc>
          <w:tcPr>
            <w:tcW w:w="2799" w:type="dxa"/>
          </w:tcPr>
          <w:p w14:paraId="59A7CBB2" w14:textId="77777777" w:rsidR="007B1052" w:rsidRPr="00CF30E3" w:rsidRDefault="007B1052" w:rsidP="007B1052">
            <w:pPr>
              <w:spacing w:before="40" w:after="40"/>
              <w:rPr>
                <w:rFonts w:eastAsia="Times New Roman"/>
                <w:bCs/>
                <w:szCs w:val="24"/>
                <w:lang w:eastAsia="en-GB"/>
              </w:rPr>
            </w:pPr>
          </w:p>
        </w:tc>
      </w:tr>
    </w:tbl>
    <w:p w14:paraId="146FAFD6" w14:textId="77777777" w:rsidR="007B1052" w:rsidRPr="00CF30E3" w:rsidRDefault="007B1052" w:rsidP="007B1052">
      <w:pPr>
        <w:spacing w:before="200" w:after="200"/>
        <w:outlineLvl w:val="0"/>
        <w:rPr>
          <w:rFonts w:eastAsia="Times New Roman"/>
          <w:b/>
          <w:bCs/>
          <w:szCs w:val="24"/>
          <w:lang w:eastAsia="en-GB"/>
        </w:rPr>
      </w:pPr>
    </w:p>
    <w:p w14:paraId="1BB95898" w14:textId="77777777" w:rsidR="007B1052" w:rsidRPr="00CF30E3" w:rsidRDefault="007B1052" w:rsidP="007B1052">
      <w:pPr>
        <w:spacing w:before="200" w:after="200"/>
        <w:outlineLvl w:val="0"/>
        <w:rPr>
          <w:rFonts w:eastAsia="Times New Roman"/>
          <w:b/>
          <w:bCs/>
          <w:szCs w:val="24"/>
          <w:lang w:eastAsia="en-GB"/>
        </w:rPr>
      </w:pPr>
    </w:p>
    <w:p w14:paraId="30888D5F" w14:textId="77777777" w:rsidR="007B1052" w:rsidRPr="00CF30E3" w:rsidRDefault="007B1052" w:rsidP="007B1052">
      <w:pPr>
        <w:spacing w:before="200" w:after="200"/>
        <w:outlineLvl w:val="0"/>
        <w:rPr>
          <w:rFonts w:eastAsia="Times New Roman"/>
          <w:b/>
          <w:bCs/>
          <w:szCs w:val="24"/>
          <w:lang w:eastAsia="en-GB"/>
        </w:rPr>
      </w:pPr>
      <w:r w:rsidRPr="00CF30E3">
        <w:rPr>
          <w:rFonts w:eastAsia="Times New Roman"/>
          <w:b/>
          <w:szCs w:val="24"/>
          <w:lang w:eastAsia="en-GB"/>
        </w:rPr>
        <w:br w:type="page"/>
      </w:r>
      <w:r w:rsidRPr="00CF30E3">
        <w:rPr>
          <w:rFonts w:eastAsia="Times New Roman"/>
          <w:b/>
          <w:szCs w:val="24"/>
          <w:lang w:eastAsia="en-GB"/>
        </w:rPr>
        <w:lastRenderedPageBreak/>
        <w:t xml:space="preserve"> </w:t>
      </w:r>
      <w:r w:rsidRPr="00CF30E3">
        <w:rPr>
          <w:rFonts w:eastAsia="Times New Roman"/>
          <w:b/>
          <w:color w:val="3E80C4"/>
          <w:sz w:val="40"/>
          <w:szCs w:val="34"/>
          <w:lang w:val="en-US" w:eastAsia="en-GB"/>
        </w:rPr>
        <w:t>Version Control Sheet</w:t>
      </w:r>
    </w:p>
    <w:p w14:paraId="01A43A4D" w14:textId="77777777" w:rsidR="007B1052" w:rsidRPr="00CF30E3" w:rsidRDefault="007B1052" w:rsidP="007B1052">
      <w:pPr>
        <w:spacing w:before="200" w:after="200"/>
        <w:rPr>
          <w:rFonts w:eastAsia="Times New Roman"/>
          <w:szCs w:val="24"/>
          <w:lang w:eastAsia="en-GB"/>
        </w:rPr>
      </w:pPr>
    </w:p>
    <w:p w14:paraId="145D45B6" w14:textId="77777777" w:rsidR="007B1052" w:rsidRPr="00CF30E3" w:rsidRDefault="007B1052" w:rsidP="007B1052">
      <w:pPr>
        <w:spacing w:before="200" w:after="200"/>
        <w:rPr>
          <w:rFonts w:eastAsia="Times New Roman"/>
          <w:szCs w:val="24"/>
          <w:lang w:eastAsia="en-GB"/>
        </w:rPr>
      </w:pPr>
      <w:r w:rsidRPr="00CF30E3">
        <w:rPr>
          <w:rFonts w:eastAsia="Times New Roman"/>
          <w:szCs w:val="24"/>
          <w:lang w:eastAsia="en-GB"/>
        </w:rPr>
        <w:t>This document to be maintained by the Policy/Procedure/Protocol Lead, and a copy attached to each version as it is circulated for consultation/input.</w:t>
      </w:r>
    </w:p>
    <w:p w14:paraId="59481143" w14:textId="77777777" w:rsidR="007B1052" w:rsidRPr="00CF30E3" w:rsidRDefault="007B1052" w:rsidP="007B1052">
      <w:pPr>
        <w:spacing w:before="200" w:after="200"/>
        <w:rPr>
          <w:rFonts w:eastAsia="Times New Roman"/>
          <w:bCs/>
          <w:szCs w:val="24"/>
          <w:lang w:eastAsia="en-GB"/>
        </w:rPr>
      </w:pPr>
    </w:p>
    <w:tbl>
      <w:tblPr>
        <w:tblW w:w="954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260"/>
        <w:gridCol w:w="1009"/>
        <w:gridCol w:w="2160"/>
        <w:gridCol w:w="1223"/>
        <w:gridCol w:w="3888"/>
      </w:tblGrid>
      <w:tr w:rsidR="007B1052" w:rsidRPr="00CF30E3" w14:paraId="4447E8A9" w14:textId="77777777" w:rsidTr="00684A8E">
        <w:tc>
          <w:tcPr>
            <w:tcW w:w="1260" w:type="dxa"/>
            <w:shd w:val="clear" w:color="auto" w:fill="auto"/>
          </w:tcPr>
          <w:p w14:paraId="3CCB1AE2" w14:textId="77777777" w:rsidR="007B1052" w:rsidRPr="00CF30E3" w:rsidRDefault="007B1052" w:rsidP="007B1052">
            <w:pPr>
              <w:spacing w:before="40" w:after="40"/>
              <w:rPr>
                <w:rFonts w:eastAsia="Times New Roman"/>
                <w:b/>
                <w:bCs/>
                <w:szCs w:val="24"/>
                <w:lang w:val="en-AU"/>
              </w:rPr>
            </w:pPr>
            <w:r w:rsidRPr="00CF30E3">
              <w:rPr>
                <w:rFonts w:eastAsia="Times New Roman"/>
                <w:b/>
                <w:szCs w:val="24"/>
                <w:lang w:val="en-AU"/>
              </w:rPr>
              <w:t>Version</w:t>
            </w:r>
          </w:p>
        </w:tc>
        <w:tc>
          <w:tcPr>
            <w:tcW w:w="1009" w:type="dxa"/>
            <w:shd w:val="clear" w:color="auto" w:fill="auto"/>
          </w:tcPr>
          <w:p w14:paraId="56D322AC" w14:textId="77777777" w:rsidR="007B1052" w:rsidRPr="00CF30E3" w:rsidRDefault="007B1052" w:rsidP="007B1052">
            <w:pPr>
              <w:spacing w:before="40" w:after="40"/>
              <w:rPr>
                <w:rFonts w:eastAsia="Times New Roman"/>
                <w:b/>
                <w:bCs/>
                <w:szCs w:val="24"/>
                <w:lang w:val="en-AU"/>
              </w:rPr>
            </w:pPr>
            <w:r w:rsidRPr="00CF30E3">
              <w:rPr>
                <w:rFonts w:eastAsia="Times New Roman"/>
                <w:b/>
                <w:szCs w:val="24"/>
                <w:lang w:val="en-AU"/>
              </w:rPr>
              <w:t>Date</w:t>
            </w:r>
          </w:p>
        </w:tc>
        <w:tc>
          <w:tcPr>
            <w:tcW w:w="2160" w:type="dxa"/>
            <w:shd w:val="clear" w:color="auto" w:fill="auto"/>
          </w:tcPr>
          <w:p w14:paraId="7CE600C4" w14:textId="77777777" w:rsidR="007B1052" w:rsidRPr="00CF30E3" w:rsidRDefault="007B1052" w:rsidP="007B1052">
            <w:pPr>
              <w:spacing w:before="40" w:after="40"/>
              <w:rPr>
                <w:rFonts w:eastAsia="Times New Roman"/>
                <w:b/>
                <w:bCs/>
                <w:szCs w:val="24"/>
                <w:lang w:val="en-AU"/>
              </w:rPr>
            </w:pPr>
            <w:r w:rsidRPr="00CF30E3">
              <w:rPr>
                <w:rFonts w:eastAsia="Times New Roman"/>
                <w:b/>
                <w:szCs w:val="24"/>
                <w:lang w:val="en-AU"/>
              </w:rPr>
              <w:t>Author</w:t>
            </w:r>
          </w:p>
        </w:tc>
        <w:tc>
          <w:tcPr>
            <w:tcW w:w="1223" w:type="dxa"/>
            <w:shd w:val="clear" w:color="auto" w:fill="auto"/>
          </w:tcPr>
          <w:p w14:paraId="1EB848B4" w14:textId="77777777" w:rsidR="007B1052" w:rsidRPr="00CF30E3" w:rsidRDefault="007B1052" w:rsidP="007B1052">
            <w:pPr>
              <w:spacing w:before="40" w:after="40"/>
              <w:rPr>
                <w:rFonts w:eastAsia="Times New Roman"/>
                <w:b/>
                <w:bCs/>
                <w:szCs w:val="24"/>
                <w:lang w:val="en-AU"/>
              </w:rPr>
            </w:pPr>
            <w:r w:rsidRPr="00CF30E3">
              <w:rPr>
                <w:rFonts w:eastAsia="Times New Roman"/>
                <w:b/>
                <w:szCs w:val="24"/>
                <w:lang w:val="en-AU"/>
              </w:rPr>
              <w:t>Status</w:t>
            </w:r>
          </w:p>
        </w:tc>
        <w:tc>
          <w:tcPr>
            <w:tcW w:w="3888" w:type="dxa"/>
            <w:shd w:val="clear" w:color="auto" w:fill="auto"/>
          </w:tcPr>
          <w:p w14:paraId="1EC9F1A4" w14:textId="77777777" w:rsidR="007B1052" w:rsidRPr="00CF30E3" w:rsidRDefault="007B1052" w:rsidP="007B1052">
            <w:pPr>
              <w:spacing w:before="40" w:after="40"/>
              <w:rPr>
                <w:rFonts w:eastAsia="Times New Roman"/>
                <w:b/>
                <w:bCs/>
                <w:szCs w:val="24"/>
                <w:lang w:val="en-AU"/>
              </w:rPr>
            </w:pPr>
            <w:r w:rsidRPr="00CF30E3">
              <w:rPr>
                <w:rFonts w:eastAsia="Times New Roman"/>
                <w:b/>
                <w:szCs w:val="24"/>
                <w:lang w:val="en-AU"/>
              </w:rPr>
              <w:t xml:space="preserve">Comment (including actions taken) </w:t>
            </w:r>
          </w:p>
        </w:tc>
      </w:tr>
      <w:tr w:rsidR="007B1052" w:rsidRPr="00CF30E3" w14:paraId="2BF8F1FB" w14:textId="77777777" w:rsidTr="00684A8E">
        <w:tc>
          <w:tcPr>
            <w:tcW w:w="1260" w:type="dxa"/>
            <w:shd w:val="clear" w:color="auto" w:fill="auto"/>
          </w:tcPr>
          <w:p w14:paraId="15B56B32"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6BDE21CC"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43C377A2"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3CD16AAD"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48F64D1B" w14:textId="77777777" w:rsidR="007B1052" w:rsidRPr="00CF30E3" w:rsidRDefault="007B1052" w:rsidP="007B1052">
            <w:pPr>
              <w:spacing w:before="40" w:after="40"/>
              <w:jc w:val="both"/>
              <w:rPr>
                <w:rFonts w:eastAsia="Times New Roman"/>
                <w:bCs/>
                <w:szCs w:val="24"/>
                <w:lang w:val="en-AU"/>
              </w:rPr>
            </w:pPr>
          </w:p>
        </w:tc>
      </w:tr>
      <w:tr w:rsidR="007B1052" w:rsidRPr="00CF30E3" w14:paraId="2B2F4E4F" w14:textId="77777777" w:rsidTr="00684A8E">
        <w:tc>
          <w:tcPr>
            <w:tcW w:w="1260" w:type="dxa"/>
            <w:shd w:val="clear" w:color="auto" w:fill="auto"/>
          </w:tcPr>
          <w:p w14:paraId="0867F69D"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176CA301"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3DB61928"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0DEFEB6D"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48276A8C" w14:textId="77777777" w:rsidR="007B1052" w:rsidRPr="00CF30E3" w:rsidRDefault="007B1052" w:rsidP="007B1052">
            <w:pPr>
              <w:spacing w:before="40" w:after="40"/>
              <w:jc w:val="both"/>
              <w:rPr>
                <w:rFonts w:eastAsia="Times New Roman"/>
                <w:bCs/>
                <w:szCs w:val="24"/>
                <w:lang w:val="en-AU"/>
              </w:rPr>
            </w:pPr>
          </w:p>
        </w:tc>
      </w:tr>
      <w:tr w:rsidR="007B1052" w:rsidRPr="00CF30E3" w14:paraId="2FCEDE94" w14:textId="77777777" w:rsidTr="00684A8E">
        <w:tc>
          <w:tcPr>
            <w:tcW w:w="1260" w:type="dxa"/>
            <w:shd w:val="clear" w:color="auto" w:fill="auto"/>
          </w:tcPr>
          <w:p w14:paraId="50DBF12F"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20C072AA"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11FBAE64"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7F5DE281"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4FC76733" w14:textId="77777777" w:rsidR="007B1052" w:rsidRPr="00CF30E3" w:rsidRDefault="007B1052" w:rsidP="007B1052">
            <w:pPr>
              <w:spacing w:before="40" w:after="40"/>
              <w:jc w:val="both"/>
              <w:rPr>
                <w:rFonts w:eastAsia="Times New Roman"/>
                <w:bCs/>
                <w:szCs w:val="24"/>
                <w:lang w:val="en-AU"/>
              </w:rPr>
            </w:pPr>
          </w:p>
        </w:tc>
      </w:tr>
      <w:tr w:rsidR="007B1052" w:rsidRPr="00CF30E3" w14:paraId="5ECE1C2F" w14:textId="77777777" w:rsidTr="00684A8E">
        <w:tc>
          <w:tcPr>
            <w:tcW w:w="1260" w:type="dxa"/>
            <w:shd w:val="clear" w:color="auto" w:fill="auto"/>
          </w:tcPr>
          <w:p w14:paraId="2E3D9F72"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0D1A9D6D"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51161D3D"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586C814E"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55A96680" w14:textId="77777777" w:rsidR="007B1052" w:rsidRPr="00CF30E3" w:rsidRDefault="007B1052" w:rsidP="007B1052">
            <w:pPr>
              <w:spacing w:before="40" w:after="40"/>
              <w:jc w:val="both"/>
              <w:rPr>
                <w:rFonts w:eastAsia="Times New Roman"/>
                <w:bCs/>
                <w:szCs w:val="24"/>
                <w:lang w:val="en-AU"/>
              </w:rPr>
            </w:pPr>
          </w:p>
        </w:tc>
      </w:tr>
      <w:tr w:rsidR="007B1052" w:rsidRPr="00CF30E3" w14:paraId="4F9F72CA" w14:textId="77777777" w:rsidTr="00684A8E">
        <w:tc>
          <w:tcPr>
            <w:tcW w:w="1260" w:type="dxa"/>
            <w:shd w:val="clear" w:color="auto" w:fill="auto"/>
          </w:tcPr>
          <w:p w14:paraId="241C0F31"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637F95A7"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309D131E"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14F32B83"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4FD8EA40" w14:textId="77777777" w:rsidR="007B1052" w:rsidRPr="00CF30E3" w:rsidRDefault="007B1052" w:rsidP="007B1052">
            <w:pPr>
              <w:spacing w:before="40" w:after="40"/>
              <w:jc w:val="both"/>
              <w:rPr>
                <w:rFonts w:eastAsia="Times New Roman"/>
                <w:bCs/>
                <w:szCs w:val="24"/>
                <w:lang w:val="en-AU"/>
              </w:rPr>
            </w:pPr>
          </w:p>
        </w:tc>
      </w:tr>
      <w:tr w:rsidR="007B1052" w:rsidRPr="00CF30E3" w14:paraId="3287F4E0" w14:textId="77777777" w:rsidTr="00684A8E">
        <w:tc>
          <w:tcPr>
            <w:tcW w:w="1260" w:type="dxa"/>
            <w:shd w:val="clear" w:color="auto" w:fill="auto"/>
          </w:tcPr>
          <w:p w14:paraId="33038B8C"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2A0D3D5F"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58F8323D"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44AC2800"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1B8759AD" w14:textId="77777777" w:rsidR="007B1052" w:rsidRPr="00CF30E3" w:rsidRDefault="007B1052" w:rsidP="007B1052">
            <w:pPr>
              <w:spacing w:before="40" w:after="40"/>
              <w:jc w:val="both"/>
              <w:rPr>
                <w:rFonts w:eastAsia="Times New Roman"/>
                <w:bCs/>
                <w:szCs w:val="24"/>
                <w:lang w:val="en-AU"/>
              </w:rPr>
            </w:pPr>
          </w:p>
        </w:tc>
      </w:tr>
      <w:tr w:rsidR="007B1052" w:rsidRPr="00CF30E3" w14:paraId="249CC035" w14:textId="77777777" w:rsidTr="00684A8E">
        <w:tc>
          <w:tcPr>
            <w:tcW w:w="1260" w:type="dxa"/>
            <w:shd w:val="clear" w:color="auto" w:fill="auto"/>
          </w:tcPr>
          <w:p w14:paraId="24CA039A"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74F8F6B2"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0E1CFD02"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0922F066"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1C6D3526" w14:textId="77777777" w:rsidR="007B1052" w:rsidRPr="00CF30E3" w:rsidRDefault="007B1052" w:rsidP="007B1052">
            <w:pPr>
              <w:spacing w:before="40" w:after="40"/>
              <w:jc w:val="both"/>
              <w:rPr>
                <w:rFonts w:eastAsia="Times New Roman"/>
                <w:bCs/>
                <w:szCs w:val="24"/>
                <w:lang w:val="en-AU"/>
              </w:rPr>
            </w:pPr>
          </w:p>
        </w:tc>
      </w:tr>
      <w:tr w:rsidR="007B1052" w:rsidRPr="00CF30E3" w14:paraId="23AD7AB9" w14:textId="77777777" w:rsidTr="00684A8E">
        <w:tc>
          <w:tcPr>
            <w:tcW w:w="1260" w:type="dxa"/>
            <w:shd w:val="clear" w:color="auto" w:fill="auto"/>
          </w:tcPr>
          <w:p w14:paraId="2C867D15"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3E796193"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51A1212A"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2D821D27"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73A53349" w14:textId="77777777" w:rsidR="007B1052" w:rsidRPr="00CF30E3" w:rsidRDefault="007B1052" w:rsidP="007B1052">
            <w:pPr>
              <w:spacing w:before="40" w:after="40"/>
              <w:jc w:val="both"/>
              <w:rPr>
                <w:rFonts w:eastAsia="Times New Roman"/>
                <w:bCs/>
                <w:szCs w:val="24"/>
                <w:lang w:val="en-AU"/>
              </w:rPr>
            </w:pPr>
          </w:p>
        </w:tc>
      </w:tr>
      <w:tr w:rsidR="007B1052" w:rsidRPr="00CF30E3" w14:paraId="3BCB5266" w14:textId="77777777" w:rsidTr="00684A8E">
        <w:tc>
          <w:tcPr>
            <w:tcW w:w="1260" w:type="dxa"/>
            <w:shd w:val="clear" w:color="auto" w:fill="auto"/>
          </w:tcPr>
          <w:p w14:paraId="5149C0C8"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15758DA1"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59C70C37"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442C72B2"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7838F2E6" w14:textId="77777777" w:rsidR="007B1052" w:rsidRPr="00CF30E3" w:rsidRDefault="007B1052" w:rsidP="007B1052">
            <w:pPr>
              <w:spacing w:before="40" w:after="40"/>
              <w:jc w:val="both"/>
              <w:rPr>
                <w:rFonts w:eastAsia="Times New Roman"/>
                <w:bCs/>
                <w:szCs w:val="24"/>
                <w:lang w:val="en-AU"/>
              </w:rPr>
            </w:pPr>
          </w:p>
        </w:tc>
      </w:tr>
      <w:tr w:rsidR="007B1052" w:rsidRPr="00CF30E3" w14:paraId="6386D6C6" w14:textId="77777777" w:rsidTr="00684A8E">
        <w:tc>
          <w:tcPr>
            <w:tcW w:w="1260" w:type="dxa"/>
            <w:shd w:val="clear" w:color="auto" w:fill="auto"/>
          </w:tcPr>
          <w:p w14:paraId="0224DBD0"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5B117C59"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48DC4E9B"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46C06CD8"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5F1C80D2" w14:textId="77777777" w:rsidR="007B1052" w:rsidRPr="00CF30E3" w:rsidRDefault="007B1052" w:rsidP="007B1052">
            <w:pPr>
              <w:spacing w:before="40" w:after="40"/>
              <w:jc w:val="both"/>
              <w:rPr>
                <w:rFonts w:eastAsia="Times New Roman"/>
                <w:bCs/>
                <w:szCs w:val="24"/>
                <w:lang w:val="en-AU"/>
              </w:rPr>
            </w:pPr>
          </w:p>
        </w:tc>
      </w:tr>
      <w:tr w:rsidR="007B1052" w:rsidRPr="00CF30E3" w14:paraId="34E3E70C" w14:textId="77777777" w:rsidTr="00684A8E">
        <w:tc>
          <w:tcPr>
            <w:tcW w:w="1260" w:type="dxa"/>
            <w:shd w:val="clear" w:color="auto" w:fill="auto"/>
          </w:tcPr>
          <w:p w14:paraId="46EA45A4"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247E8B02"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25A78AD1"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27854B85"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3FAEEDC1" w14:textId="77777777" w:rsidR="007B1052" w:rsidRPr="00CF30E3" w:rsidRDefault="007B1052" w:rsidP="007B1052">
            <w:pPr>
              <w:spacing w:before="40" w:after="40"/>
              <w:jc w:val="both"/>
              <w:rPr>
                <w:rFonts w:eastAsia="Times New Roman"/>
                <w:bCs/>
                <w:szCs w:val="24"/>
                <w:lang w:val="en-AU"/>
              </w:rPr>
            </w:pPr>
          </w:p>
        </w:tc>
      </w:tr>
      <w:tr w:rsidR="007B1052" w:rsidRPr="00CF30E3" w14:paraId="2CC1FEA1" w14:textId="77777777" w:rsidTr="00684A8E">
        <w:tc>
          <w:tcPr>
            <w:tcW w:w="1260" w:type="dxa"/>
            <w:shd w:val="clear" w:color="auto" w:fill="auto"/>
          </w:tcPr>
          <w:p w14:paraId="26237A59"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3A196AA5"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7C1D0C43"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016C5BC2"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3508C6DE" w14:textId="77777777" w:rsidR="007B1052" w:rsidRPr="00CF30E3" w:rsidRDefault="007B1052" w:rsidP="007B1052">
            <w:pPr>
              <w:spacing w:before="40" w:after="40"/>
              <w:jc w:val="both"/>
              <w:rPr>
                <w:rFonts w:eastAsia="Times New Roman"/>
                <w:bCs/>
                <w:szCs w:val="24"/>
                <w:lang w:val="en-AU"/>
              </w:rPr>
            </w:pPr>
          </w:p>
        </w:tc>
      </w:tr>
      <w:tr w:rsidR="007B1052" w:rsidRPr="00CF30E3" w14:paraId="7C5246F5" w14:textId="77777777" w:rsidTr="00684A8E">
        <w:tc>
          <w:tcPr>
            <w:tcW w:w="1260" w:type="dxa"/>
            <w:shd w:val="clear" w:color="auto" w:fill="auto"/>
          </w:tcPr>
          <w:p w14:paraId="29522C83"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50825A65"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33D2AABF"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33ED3FA6"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2FAF8A1D" w14:textId="77777777" w:rsidR="007B1052" w:rsidRPr="00CF30E3" w:rsidRDefault="007B1052" w:rsidP="007B1052">
            <w:pPr>
              <w:spacing w:before="40" w:after="40"/>
              <w:jc w:val="both"/>
              <w:rPr>
                <w:rFonts w:eastAsia="Times New Roman"/>
                <w:bCs/>
                <w:szCs w:val="24"/>
                <w:lang w:val="en-AU"/>
              </w:rPr>
            </w:pPr>
          </w:p>
        </w:tc>
      </w:tr>
      <w:tr w:rsidR="007B1052" w:rsidRPr="00CF30E3" w14:paraId="72FC7B6F" w14:textId="77777777" w:rsidTr="00684A8E">
        <w:tc>
          <w:tcPr>
            <w:tcW w:w="1260" w:type="dxa"/>
            <w:shd w:val="clear" w:color="auto" w:fill="auto"/>
          </w:tcPr>
          <w:p w14:paraId="7B792FB1" w14:textId="77777777" w:rsidR="007B1052" w:rsidRPr="00CF30E3" w:rsidRDefault="007B1052" w:rsidP="007B1052">
            <w:pPr>
              <w:spacing w:before="40" w:after="40"/>
              <w:jc w:val="both"/>
              <w:rPr>
                <w:rFonts w:eastAsia="Times New Roman"/>
                <w:bCs/>
                <w:szCs w:val="24"/>
                <w:lang w:val="en-AU"/>
              </w:rPr>
            </w:pPr>
          </w:p>
        </w:tc>
        <w:tc>
          <w:tcPr>
            <w:tcW w:w="1009" w:type="dxa"/>
            <w:shd w:val="clear" w:color="auto" w:fill="auto"/>
          </w:tcPr>
          <w:p w14:paraId="7327A1E4" w14:textId="77777777" w:rsidR="007B1052" w:rsidRPr="00CF30E3" w:rsidRDefault="007B1052" w:rsidP="007B1052">
            <w:pPr>
              <w:spacing w:before="40" w:after="40"/>
              <w:jc w:val="both"/>
              <w:rPr>
                <w:rFonts w:eastAsia="Times New Roman"/>
                <w:bCs/>
                <w:szCs w:val="24"/>
                <w:lang w:val="en-AU"/>
              </w:rPr>
            </w:pPr>
          </w:p>
        </w:tc>
        <w:tc>
          <w:tcPr>
            <w:tcW w:w="2160" w:type="dxa"/>
            <w:shd w:val="clear" w:color="auto" w:fill="auto"/>
          </w:tcPr>
          <w:p w14:paraId="527AAD20"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475083DC"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76DF6396" w14:textId="77777777" w:rsidR="007B1052" w:rsidRPr="00CF30E3" w:rsidRDefault="007B1052" w:rsidP="007B1052">
            <w:pPr>
              <w:spacing w:before="40" w:after="40"/>
              <w:jc w:val="both"/>
              <w:rPr>
                <w:rFonts w:eastAsia="Times New Roman"/>
                <w:bCs/>
                <w:szCs w:val="24"/>
                <w:lang w:val="en-AU"/>
              </w:rPr>
            </w:pPr>
          </w:p>
        </w:tc>
      </w:tr>
    </w:tbl>
    <w:p w14:paraId="5B183A99" w14:textId="77777777" w:rsidR="00DF5A90" w:rsidRPr="00CF30E3" w:rsidRDefault="00DF5A90" w:rsidP="00B41F7E"/>
    <w:sectPr w:rsidR="00DF5A90" w:rsidRPr="00CF30E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97A5" w14:textId="77777777" w:rsidR="00CE00A8" w:rsidRDefault="00CE00A8" w:rsidP="00AD632A">
      <w:r>
        <w:separator/>
      </w:r>
    </w:p>
  </w:endnote>
  <w:endnote w:type="continuationSeparator" w:id="0">
    <w:p w14:paraId="3A51CFCB" w14:textId="77777777" w:rsidR="00CE00A8" w:rsidRDefault="00CE00A8"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595F" w14:textId="77777777" w:rsidR="00A53B3C" w:rsidRDefault="00A53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514AFC" w14:textId="77777777" w:rsidR="00A53B3C" w:rsidRDefault="00A53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97C7" w14:textId="77777777" w:rsidR="00A53B3C" w:rsidRDefault="00A53B3C" w:rsidP="00684A8E">
    <w:pPr>
      <w:pStyle w:val="Footer"/>
      <w:framePr w:wrap="around" w:vAnchor="text" w:hAnchor="page" w:x="10882" w:y="66"/>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2094CC3" w14:textId="77777777" w:rsidR="00A53B3C" w:rsidRPr="00B402F1" w:rsidRDefault="00A53B3C" w:rsidP="00684A8E">
    <w:pPr>
      <w:pStyle w:val="Footer"/>
      <w:ind w:right="360"/>
      <w:rPr>
        <w:sz w:val="18"/>
      </w:rPr>
    </w:pPr>
    <w:bookmarkStart w:id="1" w:name="_Hlk137627573"/>
    <w:r w:rsidRPr="008F703F">
      <w:rPr>
        <w:sz w:val="18"/>
      </w:rPr>
      <w:t>In</w:t>
    </w:r>
    <w:r>
      <w:rPr>
        <w:sz w:val="18"/>
      </w:rPr>
      <w:t xml:space="preserve">fection Prevention and Control, </w:t>
    </w:r>
    <w:r w:rsidRPr="008F703F">
      <w:rPr>
        <w:sz w:val="18"/>
      </w:rPr>
      <w:t>Managing the Associated Risks Policy</w:t>
    </w:r>
    <w:r w:rsidR="008A3418">
      <w:rPr>
        <w:sz w:val="18"/>
      </w:rPr>
      <w:t xml:space="preserve"> v8</w:t>
    </w:r>
    <w:bookmarkEnd w:id="1"/>
    <w:r>
      <w:rPr>
        <w:b/>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935B" w14:textId="77777777" w:rsidR="007B1052" w:rsidRDefault="003261AF" w:rsidP="00684A8E">
    <w:pPr>
      <w:pStyle w:val="Header"/>
      <w:rPr>
        <w:sz w:val="16"/>
        <w:szCs w:val="16"/>
      </w:rPr>
    </w:pPr>
    <w:r w:rsidRPr="008F703F">
      <w:rPr>
        <w:sz w:val="18"/>
      </w:rPr>
      <w:t>In</w:t>
    </w:r>
    <w:r>
      <w:rPr>
        <w:sz w:val="18"/>
      </w:rPr>
      <w:t xml:space="preserve">fection Prevention and Control, </w:t>
    </w:r>
    <w:r w:rsidRPr="008F703F">
      <w:rPr>
        <w:sz w:val="18"/>
      </w:rPr>
      <w:t>Managing the Associated Risks Policy</w:t>
    </w:r>
    <w:r>
      <w:rPr>
        <w:sz w:val="18"/>
      </w:rPr>
      <w:t xml:space="preserve"> v</w:t>
    </w:r>
    <w:r w:rsidR="00A0559F">
      <w:rPr>
        <w:sz w:val="18"/>
      </w:rPr>
      <w:t>-</w:t>
    </w:r>
    <w:r w:rsidR="00625DB2">
      <w:rPr>
        <w:sz w:val="18"/>
      </w:rPr>
      <w:t>8</w:t>
    </w:r>
    <w:r w:rsidR="007B1052">
      <w:rPr>
        <w:noProof/>
        <w:sz w:val="16"/>
        <w:szCs w:val="16"/>
      </w:rPr>
      <w:tab/>
    </w:r>
    <w:r w:rsidR="00F36E11">
      <w:rPr>
        <w:noProof/>
        <w:sz w:val="16"/>
        <w:szCs w:val="16"/>
      </w:rPr>
      <w:t xml:space="preserve">       </w:t>
    </w:r>
    <w:r w:rsidR="007B1052" w:rsidRPr="00C668BF">
      <w:rPr>
        <w:noProof/>
        <w:sz w:val="16"/>
        <w:szCs w:val="16"/>
      </w:rPr>
      <w:fldChar w:fldCharType="begin"/>
    </w:r>
    <w:r w:rsidR="007B1052" w:rsidRPr="00C668BF">
      <w:rPr>
        <w:noProof/>
        <w:sz w:val="16"/>
        <w:szCs w:val="16"/>
      </w:rPr>
      <w:instrText xml:space="preserve"> PAGE   \* MERGEFORMAT </w:instrText>
    </w:r>
    <w:r w:rsidR="007B1052" w:rsidRPr="00C668BF">
      <w:rPr>
        <w:noProof/>
        <w:sz w:val="16"/>
        <w:szCs w:val="16"/>
      </w:rPr>
      <w:fldChar w:fldCharType="separate"/>
    </w:r>
    <w:r w:rsidR="0026155B">
      <w:rPr>
        <w:noProof/>
        <w:sz w:val="16"/>
        <w:szCs w:val="16"/>
      </w:rPr>
      <w:t>8</w:t>
    </w:r>
    <w:r w:rsidR="007B1052" w:rsidRPr="00C668BF">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100F" w14:textId="77777777" w:rsidR="00AD632A" w:rsidRPr="00AD632A" w:rsidRDefault="00907E68">
    <w:pPr>
      <w:pStyle w:val="Footer"/>
      <w:rPr>
        <w:sz w:val="16"/>
        <w:szCs w:val="16"/>
      </w:rPr>
    </w:pPr>
    <w:r w:rsidRPr="008F703F">
      <w:rPr>
        <w:sz w:val="18"/>
      </w:rPr>
      <w:t>In</w:t>
    </w:r>
    <w:r>
      <w:rPr>
        <w:sz w:val="18"/>
      </w:rPr>
      <w:t xml:space="preserve">fection Prevention and Control, </w:t>
    </w:r>
    <w:r w:rsidRPr="008F703F">
      <w:rPr>
        <w:sz w:val="18"/>
      </w:rPr>
      <w:t>Managing the Associated Risks Policy</w:t>
    </w:r>
    <w:r>
      <w:rPr>
        <w:sz w:val="18"/>
      </w:rPr>
      <w:t xml:space="preserve"> v8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AC1C" w14:textId="77777777" w:rsidR="00CE00A8" w:rsidRDefault="00CE00A8" w:rsidP="00AD632A">
      <w:r>
        <w:separator/>
      </w:r>
    </w:p>
  </w:footnote>
  <w:footnote w:type="continuationSeparator" w:id="0">
    <w:p w14:paraId="7D419C43" w14:textId="77777777" w:rsidR="00CE00A8" w:rsidRDefault="00CE00A8" w:rsidP="00A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AB18" w14:textId="77777777" w:rsidR="00A53B3C" w:rsidRDefault="00A53B3C">
    <w:pPr>
      <w:pStyle w:val="Header"/>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C265F"/>
    <w:multiLevelType w:val="hybridMultilevel"/>
    <w:tmpl w:val="A532F4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7BD715C"/>
    <w:multiLevelType w:val="hybridMultilevel"/>
    <w:tmpl w:val="AD24E9DA"/>
    <w:lvl w:ilvl="0" w:tplc="EAB49A56">
      <w:numFmt w:val="bullet"/>
      <w:lvlText w:val="-"/>
      <w:lvlJc w:val="left"/>
      <w:pPr>
        <w:tabs>
          <w:tab w:val="num" w:pos="1724"/>
        </w:tabs>
        <w:ind w:left="1724" w:hanging="284"/>
      </w:pPr>
      <w:rPr>
        <w:rFonts w:ascii="Times New Roman" w:eastAsia="Times New Roman" w:hAnsi="Times New Roman" w:cs="Times New Roman"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CF80AD1"/>
    <w:multiLevelType w:val="hybridMultilevel"/>
    <w:tmpl w:val="538EEAF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CA5BD6"/>
    <w:multiLevelType w:val="hybridMultilevel"/>
    <w:tmpl w:val="D392064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BF10FD"/>
    <w:multiLevelType w:val="hybridMultilevel"/>
    <w:tmpl w:val="CD9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F7BC0"/>
    <w:multiLevelType w:val="hybridMultilevel"/>
    <w:tmpl w:val="A192F5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4E5823"/>
    <w:multiLevelType w:val="hybridMultilevel"/>
    <w:tmpl w:val="17B4B1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7E87677"/>
    <w:multiLevelType w:val="hybridMultilevel"/>
    <w:tmpl w:val="2558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C61C1"/>
    <w:multiLevelType w:val="hybridMultilevel"/>
    <w:tmpl w:val="D8D630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E4E4F91"/>
    <w:multiLevelType w:val="hybridMultilevel"/>
    <w:tmpl w:val="1F3A3FF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9A076B"/>
    <w:multiLevelType w:val="multilevel"/>
    <w:tmpl w:val="77A0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6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C330C5"/>
    <w:multiLevelType w:val="hybridMultilevel"/>
    <w:tmpl w:val="06343D4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8A876C6"/>
    <w:multiLevelType w:val="hybridMultilevel"/>
    <w:tmpl w:val="2D7A08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C173380"/>
    <w:multiLevelType w:val="hybridMultilevel"/>
    <w:tmpl w:val="E18C6D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6CA1695"/>
    <w:multiLevelType w:val="hybridMultilevel"/>
    <w:tmpl w:val="2AA0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D0A0E"/>
    <w:multiLevelType w:val="hybridMultilevel"/>
    <w:tmpl w:val="CE6CB19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2F324C7"/>
    <w:multiLevelType w:val="hybridMultilevel"/>
    <w:tmpl w:val="3D2AD100"/>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8" w15:restartNumberingAfterBreak="0">
    <w:nsid w:val="735F5908"/>
    <w:multiLevelType w:val="hybridMultilevel"/>
    <w:tmpl w:val="794AA3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8203DAD"/>
    <w:multiLevelType w:val="hybridMultilevel"/>
    <w:tmpl w:val="A95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423EF"/>
    <w:multiLevelType w:val="hybridMultilevel"/>
    <w:tmpl w:val="8D0435AC"/>
    <w:lvl w:ilvl="0" w:tplc="85CE93B6">
      <w:start w:val="1"/>
      <w:numFmt w:val="bullet"/>
      <w:lvlText w:val=""/>
      <w:lvlJc w:val="left"/>
      <w:pPr>
        <w:tabs>
          <w:tab w:val="num" w:pos="2160"/>
        </w:tabs>
        <w:ind w:left="2160" w:hanging="360"/>
      </w:pPr>
      <w:rPr>
        <w:rFonts w:ascii="Symbol" w:hAnsi="Symbol" w:hint="default"/>
        <w:color w:val="auto"/>
      </w:rPr>
    </w:lvl>
    <w:lvl w:ilvl="1" w:tplc="85CE93B6">
      <w:start w:val="1"/>
      <w:numFmt w:val="bullet"/>
      <w:lvlText w:val=""/>
      <w:lvlJc w:val="left"/>
      <w:pPr>
        <w:tabs>
          <w:tab w:val="num" w:pos="2167"/>
        </w:tabs>
        <w:ind w:left="2167" w:hanging="360"/>
      </w:pPr>
      <w:rPr>
        <w:rFonts w:ascii="Symbol" w:hAnsi="Symbol" w:hint="default"/>
        <w:color w:val="auto"/>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8AC2E07"/>
    <w:multiLevelType w:val="hybridMultilevel"/>
    <w:tmpl w:val="FF46A5A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1"/>
  </w:num>
  <w:num w:numId="3">
    <w:abstractNumId w:val="4"/>
  </w:num>
  <w:num w:numId="4">
    <w:abstractNumId w:val="13"/>
  </w:num>
  <w:num w:numId="5">
    <w:abstractNumId w:val="3"/>
  </w:num>
  <w:num w:numId="6">
    <w:abstractNumId w:val="12"/>
  </w:num>
  <w:num w:numId="7">
    <w:abstractNumId w:val="16"/>
  </w:num>
  <w:num w:numId="8">
    <w:abstractNumId w:val="5"/>
  </w:num>
  <w:num w:numId="9">
    <w:abstractNumId w:val="0"/>
  </w:num>
  <w:num w:numId="10">
    <w:abstractNumId w:val="6"/>
  </w:num>
  <w:num w:numId="11">
    <w:abstractNumId w:val="9"/>
  </w:num>
  <w:num w:numId="12">
    <w:abstractNumId w:val="8"/>
  </w:num>
  <w:num w:numId="13">
    <w:abstractNumId w:val="2"/>
  </w:num>
  <w:num w:numId="14">
    <w:abstractNumId w:val="20"/>
  </w:num>
  <w:num w:numId="15">
    <w:abstractNumId w:val="14"/>
  </w:num>
  <w:num w:numId="16">
    <w:abstractNumId w:val="11"/>
  </w:num>
  <w:num w:numId="17">
    <w:abstractNumId w:val="19"/>
  </w:num>
  <w:num w:numId="18">
    <w:abstractNumId w:val="7"/>
  </w:num>
  <w:num w:numId="19">
    <w:abstractNumId w:val="18"/>
  </w:num>
  <w:num w:numId="20">
    <w:abstractNumId w:val="10"/>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52"/>
    <w:rsid w:val="00015210"/>
    <w:rsid w:val="000450F7"/>
    <w:rsid w:val="00053247"/>
    <w:rsid w:val="0005562C"/>
    <w:rsid w:val="000624AA"/>
    <w:rsid w:val="000750C1"/>
    <w:rsid w:val="000A3C58"/>
    <w:rsid w:val="000B1763"/>
    <w:rsid w:val="000C4C45"/>
    <w:rsid w:val="000F573C"/>
    <w:rsid w:val="00104C02"/>
    <w:rsid w:val="001121A6"/>
    <w:rsid w:val="00123B12"/>
    <w:rsid w:val="00136404"/>
    <w:rsid w:val="0015607E"/>
    <w:rsid w:val="00191E0E"/>
    <w:rsid w:val="002311FE"/>
    <w:rsid w:val="0026155B"/>
    <w:rsid w:val="00285B64"/>
    <w:rsid w:val="002C0A2B"/>
    <w:rsid w:val="002D5277"/>
    <w:rsid w:val="002E089D"/>
    <w:rsid w:val="002E3370"/>
    <w:rsid w:val="003261AF"/>
    <w:rsid w:val="003373B3"/>
    <w:rsid w:val="003565E1"/>
    <w:rsid w:val="003A3864"/>
    <w:rsid w:val="003B741D"/>
    <w:rsid w:val="003E5C49"/>
    <w:rsid w:val="00413865"/>
    <w:rsid w:val="004166D6"/>
    <w:rsid w:val="00431871"/>
    <w:rsid w:val="00441EC9"/>
    <w:rsid w:val="0048284B"/>
    <w:rsid w:val="00483433"/>
    <w:rsid w:val="0048480E"/>
    <w:rsid w:val="004A29C4"/>
    <w:rsid w:val="00507AB8"/>
    <w:rsid w:val="00522685"/>
    <w:rsid w:val="0052299F"/>
    <w:rsid w:val="00523918"/>
    <w:rsid w:val="0053355E"/>
    <w:rsid w:val="0054534D"/>
    <w:rsid w:val="00552105"/>
    <w:rsid w:val="005543DD"/>
    <w:rsid w:val="005A1E24"/>
    <w:rsid w:val="005B5C67"/>
    <w:rsid w:val="005D3FBC"/>
    <w:rsid w:val="00610711"/>
    <w:rsid w:val="006233D7"/>
    <w:rsid w:val="00625DB2"/>
    <w:rsid w:val="0064490D"/>
    <w:rsid w:val="00644F22"/>
    <w:rsid w:val="00653E9F"/>
    <w:rsid w:val="00684A8E"/>
    <w:rsid w:val="006B781F"/>
    <w:rsid w:val="00723DE5"/>
    <w:rsid w:val="00745898"/>
    <w:rsid w:val="007706BB"/>
    <w:rsid w:val="007767FC"/>
    <w:rsid w:val="007A2104"/>
    <w:rsid w:val="007B1052"/>
    <w:rsid w:val="007B5EEE"/>
    <w:rsid w:val="007C383E"/>
    <w:rsid w:val="00840D23"/>
    <w:rsid w:val="008554EC"/>
    <w:rsid w:val="008850FD"/>
    <w:rsid w:val="008944C1"/>
    <w:rsid w:val="008A325C"/>
    <w:rsid w:val="008A3418"/>
    <w:rsid w:val="008C1049"/>
    <w:rsid w:val="008C44B1"/>
    <w:rsid w:val="008E35E6"/>
    <w:rsid w:val="008F055E"/>
    <w:rsid w:val="00907E68"/>
    <w:rsid w:val="00933932"/>
    <w:rsid w:val="00943E08"/>
    <w:rsid w:val="009440BB"/>
    <w:rsid w:val="00967C82"/>
    <w:rsid w:val="00991411"/>
    <w:rsid w:val="00996BBE"/>
    <w:rsid w:val="009B6B52"/>
    <w:rsid w:val="009F5168"/>
    <w:rsid w:val="00A0559F"/>
    <w:rsid w:val="00A271BB"/>
    <w:rsid w:val="00A32891"/>
    <w:rsid w:val="00A53B3C"/>
    <w:rsid w:val="00A5701E"/>
    <w:rsid w:val="00A71EDD"/>
    <w:rsid w:val="00A810FC"/>
    <w:rsid w:val="00A93AA6"/>
    <w:rsid w:val="00AB45AA"/>
    <w:rsid w:val="00AD419A"/>
    <w:rsid w:val="00AD632A"/>
    <w:rsid w:val="00B32219"/>
    <w:rsid w:val="00B41F7E"/>
    <w:rsid w:val="00B54F0A"/>
    <w:rsid w:val="00B61302"/>
    <w:rsid w:val="00B77131"/>
    <w:rsid w:val="00BA06DF"/>
    <w:rsid w:val="00BC61D9"/>
    <w:rsid w:val="00BC6A2B"/>
    <w:rsid w:val="00BD1425"/>
    <w:rsid w:val="00BF3BEC"/>
    <w:rsid w:val="00BF7640"/>
    <w:rsid w:val="00C169CA"/>
    <w:rsid w:val="00C22859"/>
    <w:rsid w:val="00C475AD"/>
    <w:rsid w:val="00CA5629"/>
    <w:rsid w:val="00CA64A5"/>
    <w:rsid w:val="00CE00A8"/>
    <w:rsid w:val="00CE1017"/>
    <w:rsid w:val="00CF30E3"/>
    <w:rsid w:val="00CF6289"/>
    <w:rsid w:val="00D06118"/>
    <w:rsid w:val="00D25D43"/>
    <w:rsid w:val="00D3687C"/>
    <w:rsid w:val="00D433D2"/>
    <w:rsid w:val="00D45FE7"/>
    <w:rsid w:val="00D510CA"/>
    <w:rsid w:val="00D63A19"/>
    <w:rsid w:val="00D82A1B"/>
    <w:rsid w:val="00DC1F52"/>
    <w:rsid w:val="00DE0862"/>
    <w:rsid w:val="00DF5A90"/>
    <w:rsid w:val="00E63C37"/>
    <w:rsid w:val="00E64655"/>
    <w:rsid w:val="00E859ED"/>
    <w:rsid w:val="00E9091B"/>
    <w:rsid w:val="00EB11FD"/>
    <w:rsid w:val="00F14741"/>
    <w:rsid w:val="00F3217E"/>
    <w:rsid w:val="00F36E11"/>
    <w:rsid w:val="00F37526"/>
    <w:rsid w:val="00F41656"/>
    <w:rsid w:val="00F4588E"/>
    <w:rsid w:val="00F61225"/>
    <w:rsid w:val="00F649C6"/>
    <w:rsid w:val="00FA78F2"/>
    <w:rsid w:val="00FD61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F0CD472"/>
  <w15:docId w15:val="{B16FE92A-76F2-4BBE-B12C-B60BFAE5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E3"/>
    <w:pPr>
      <w:spacing w:after="0" w:line="240" w:lineRule="auto"/>
    </w:pPr>
  </w:style>
  <w:style w:type="paragraph" w:styleId="Heading1">
    <w:name w:val="heading 1"/>
    <w:basedOn w:val="Normal"/>
    <w:next w:val="Normal"/>
    <w:link w:val="Heading1Char"/>
    <w:uiPriority w:val="9"/>
    <w:qFormat/>
    <w:rsid w:val="003A38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A3864"/>
    <w:pPr>
      <w:keepNext/>
      <w:outlineLvl w:val="1"/>
    </w:pPr>
    <w:rPr>
      <w:rFonts w:ascii="Times New Roman" w:eastAsia="Times New Roman" w:hAnsi="Times New Roman" w:cs="Times New Roman"/>
      <w:b/>
      <w:bCs/>
      <w:sz w:val="20"/>
      <w:u w:val="single"/>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table" w:styleId="TableGrid">
    <w:name w:val="Table Grid"/>
    <w:basedOn w:val="TableNormal"/>
    <w:uiPriority w:val="59"/>
    <w:rsid w:val="0077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30E3"/>
    <w:rPr>
      <w:sz w:val="16"/>
      <w:szCs w:val="16"/>
    </w:rPr>
  </w:style>
  <w:style w:type="paragraph" w:styleId="CommentText">
    <w:name w:val="annotation text"/>
    <w:basedOn w:val="Normal"/>
    <w:link w:val="CommentTextChar"/>
    <w:uiPriority w:val="99"/>
    <w:unhideWhenUsed/>
    <w:rsid w:val="00CF30E3"/>
    <w:rPr>
      <w:sz w:val="20"/>
    </w:rPr>
  </w:style>
  <w:style w:type="character" w:customStyle="1" w:styleId="CommentTextChar">
    <w:name w:val="Comment Text Char"/>
    <w:basedOn w:val="DefaultParagraphFont"/>
    <w:link w:val="CommentText"/>
    <w:uiPriority w:val="99"/>
    <w:rsid w:val="00CF30E3"/>
    <w:rPr>
      <w:sz w:val="20"/>
    </w:rPr>
  </w:style>
  <w:style w:type="paragraph" w:styleId="CommentSubject">
    <w:name w:val="annotation subject"/>
    <w:basedOn w:val="CommentText"/>
    <w:next w:val="CommentText"/>
    <w:link w:val="CommentSubjectChar"/>
    <w:uiPriority w:val="99"/>
    <w:semiHidden/>
    <w:unhideWhenUsed/>
    <w:rsid w:val="00CF30E3"/>
    <w:rPr>
      <w:b/>
    </w:rPr>
  </w:style>
  <w:style w:type="character" w:customStyle="1" w:styleId="CommentSubjectChar">
    <w:name w:val="Comment Subject Char"/>
    <w:basedOn w:val="CommentTextChar"/>
    <w:link w:val="CommentSubject"/>
    <w:uiPriority w:val="99"/>
    <w:semiHidden/>
    <w:rsid w:val="00CF30E3"/>
    <w:rPr>
      <w:b/>
      <w:sz w:val="20"/>
    </w:rPr>
  </w:style>
  <w:style w:type="paragraph" w:styleId="BalloonText">
    <w:name w:val="Balloon Text"/>
    <w:basedOn w:val="Normal"/>
    <w:link w:val="BalloonTextChar"/>
    <w:uiPriority w:val="99"/>
    <w:semiHidden/>
    <w:unhideWhenUsed/>
    <w:rsid w:val="00CF30E3"/>
    <w:rPr>
      <w:rFonts w:ascii="Tahoma" w:hAnsi="Tahoma" w:cs="Tahoma"/>
      <w:sz w:val="16"/>
      <w:szCs w:val="16"/>
    </w:rPr>
  </w:style>
  <w:style w:type="character" w:customStyle="1" w:styleId="BalloonTextChar">
    <w:name w:val="Balloon Text Char"/>
    <w:basedOn w:val="DefaultParagraphFont"/>
    <w:link w:val="BalloonText"/>
    <w:uiPriority w:val="99"/>
    <w:semiHidden/>
    <w:rsid w:val="00CF30E3"/>
    <w:rPr>
      <w:rFonts w:ascii="Tahoma" w:hAnsi="Tahoma" w:cs="Tahoma"/>
      <w:sz w:val="16"/>
      <w:szCs w:val="16"/>
    </w:rPr>
  </w:style>
  <w:style w:type="character" w:styleId="PageNumber">
    <w:name w:val="page number"/>
    <w:rsid w:val="00A53B3C"/>
    <w:rPr>
      <w:rFonts w:ascii="Arial" w:hAnsi="Arial"/>
      <w:sz w:val="18"/>
    </w:rPr>
  </w:style>
  <w:style w:type="paragraph" w:customStyle="1" w:styleId="Body">
    <w:name w:val="Body"/>
    <w:rsid w:val="00A53B3C"/>
    <w:pPr>
      <w:spacing w:after="0" w:line="240" w:lineRule="auto"/>
    </w:pPr>
    <w:rPr>
      <w:rFonts w:ascii="Helvetica" w:eastAsia="Arial Unicode MS" w:hAnsi="Arial Unicode MS" w:cs="Arial Unicode MS"/>
      <w:bCs/>
      <w:color w:val="000000"/>
      <w:sz w:val="22"/>
      <w:szCs w:val="22"/>
      <w:lang w:val="en-US" w:eastAsia="en-GB"/>
    </w:rPr>
  </w:style>
  <w:style w:type="character" w:customStyle="1" w:styleId="hgkelc">
    <w:name w:val="hgkelc"/>
    <w:rsid w:val="00A53B3C"/>
  </w:style>
  <w:style w:type="character" w:styleId="Hyperlink">
    <w:name w:val="Hyperlink"/>
    <w:uiPriority w:val="99"/>
    <w:rsid w:val="003A3864"/>
    <w:rPr>
      <w:color w:val="0000FF"/>
      <w:u w:val="single"/>
    </w:rPr>
  </w:style>
  <w:style w:type="character" w:customStyle="1" w:styleId="Heading2Char">
    <w:name w:val="Heading 2 Char"/>
    <w:basedOn w:val="DefaultParagraphFont"/>
    <w:link w:val="Heading2"/>
    <w:rsid w:val="003A3864"/>
    <w:rPr>
      <w:rFonts w:ascii="Times New Roman" w:eastAsia="Times New Roman" w:hAnsi="Times New Roman" w:cs="Times New Roman"/>
      <w:b/>
      <w:bCs/>
      <w:sz w:val="20"/>
      <w:u w:val="single"/>
      <w:lang w:val="en-US" w:eastAsia="en-GB"/>
    </w:rPr>
  </w:style>
  <w:style w:type="character" w:customStyle="1" w:styleId="Heading1Char">
    <w:name w:val="Heading 1 Char"/>
    <w:basedOn w:val="DefaultParagraphFont"/>
    <w:link w:val="Heading1"/>
    <w:uiPriority w:val="9"/>
    <w:rsid w:val="003A386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552105"/>
    <w:pPr>
      <w:ind w:left="720"/>
      <w:contextualSpacing/>
    </w:pPr>
  </w:style>
  <w:style w:type="paragraph" w:styleId="Revision">
    <w:name w:val="Revision"/>
    <w:hidden/>
    <w:uiPriority w:val="99"/>
    <w:semiHidden/>
    <w:rsid w:val="000F573C"/>
    <w:pPr>
      <w:spacing w:after="0" w:line="240" w:lineRule="auto"/>
    </w:pPr>
  </w:style>
  <w:style w:type="paragraph" w:styleId="EndnoteText">
    <w:name w:val="endnote text"/>
    <w:basedOn w:val="Normal"/>
    <w:link w:val="EndnoteTextChar"/>
    <w:semiHidden/>
    <w:unhideWhenUsed/>
    <w:rsid w:val="0052299F"/>
    <w:rPr>
      <w:rFonts w:ascii="CG Times" w:eastAsia="Times New Roman" w:hAnsi="CG Times" w:cs="Times New Roman"/>
      <w:bCs/>
      <w:lang w:val="en-AU" w:eastAsia="en-GB"/>
    </w:rPr>
  </w:style>
  <w:style w:type="character" w:customStyle="1" w:styleId="EndnoteTextChar">
    <w:name w:val="Endnote Text Char"/>
    <w:basedOn w:val="DefaultParagraphFont"/>
    <w:link w:val="EndnoteText"/>
    <w:semiHidden/>
    <w:rsid w:val="0052299F"/>
    <w:rPr>
      <w:rFonts w:ascii="CG Times" w:eastAsia="Times New Roman" w:hAnsi="CG Times" w:cs="Times New Roman"/>
      <w:bCs/>
      <w:lang w:val="en-AU" w:eastAsia="en-GB"/>
    </w:rPr>
  </w:style>
  <w:style w:type="paragraph" w:styleId="BodyTextIndent">
    <w:name w:val="Body Text Indent"/>
    <w:basedOn w:val="Normal"/>
    <w:link w:val="BodyTextIndentChar"/>
    <w:uiPriority w:val="99"/>
    <w:unhideWhenUsed/>
    <w:rsid w:val="008C1049"/>
    <w:pPr>
      <w:spacing w:after="120"/>
      <w:ind w:left="283"/>
    </w:pPr>
  </w:style>
  <w:style w:type="character" w:customStyle="1" w:styleId="BodyTextIndentChar">
    <w:name w:val="Body Text Indent Char"/>
    <w:basedOn w:val="DefaultParagraphFont"/>
    <w:link w:val="BodyTextIndent"/>
    <w:uiPriority w:val="99"/>
    <w:rsid w:val="008C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14589">
      <w:bodyDiv w:val="1"/>
      <w:marLeft w:val="0"/>
      <w:marRight w:val="0"/>
      <w:marTop w:val="0"/>
      <w:marBottom w:val="0"/>
      <w:divBdr>
        <w:top w:val="none" w:sz="0" w:space="0" w:color="auto"/>
        <w:left w:val="none" w:sz="0" w:space="0" w:color="auto"/>
        <w:bottom w:val="none" w:sz="0" w:space="0" w:color="auto"/>
        <w:right w:val="none" w:sz="0" w:space="0" w:color="auto"/>
      </w:divBdr>
    </w:div>
    <w:div w:id="707607842">
      <w:bodyDiv w:val="1"/>
      <w:marLeft w:val="0"/>
      <w:marRight w:val="0"/>
      <w:marTop w:val="0"/>
      <w:marBottom w:val="0"/>
      <w:divBdr>
        <w:top w:val="none" w:sz="0" w:space="0" w:color="auto"/>
        <w:left w:val="none" w:sz="0" w:space="0" w:color="auto"/>
        <w:bottom w:val="none" w:sz="0" w:space="0" w:color="auto"/>
        <w:right w:val="none" w:sz="0" w:space="0" w:color="auto"/>
      </w:divBdr>
    </w:div>
    <w:div w:id="878670222">
      <w:bodyDiv w:val="1"/>
      <w:marLeft w:val="0"/>
      <w:marRight w:val="0"/>
      <w:marTop w:val="0"/>
      <w:marBottom w:val="0"/>
      <w:divBdr>
        <w:top w:val="none" w:sz="0" w:space="0" w:color="auto"/>
        <w:left w:val="none" w:sz="0" w:space="0" w:color="auto"/>
        <w:bottom w:val="none" w:sz="0" w:space="0" w:color="auto"/>
        <w:right w:val="none" w:sz="0" w:space="0" w:color="auto"/>
      </w:divBdr>
    </w:div>
    <w:div w:id="1096292718">
      <w:bodyDiv w:val="1"/>
      <w:marLeft w:val="0"/>
      <w:marRight w:val="0"/>
      <w:marTop w:val="0"/>
      <w:marBottom w:val="0"/>
      <w:divBdr>
        <w:top w:val="none" w:sz="0" w:space="0" w:color="auto"/>
        <w:left w:val="none" w:sz="0" w:space="0" w:color="auto"/>
        <w:bottom w:val="none" w:sz="0" w:space="0" w:color="auto"/>
        <w:right w:val="none" w:sz="0" w:space="0" w:color="auto"/>
      </w:divBdr>
    </w:div>
    <w:div w:id="1109736130">
      <w:bodyDiv w:val="1"/>
      <w:marLeft w:val="0"/>
      <w:marRight w:val="0"/>
      <w:marTop w:val="0"/>
      <w:marBottom w:val="0"/>
      <w:divBdr>
        <w:top w:val="none" w:sz="0" w:space="0" w:color="auto"/>
        <w:left w:val="none" w:sz="0" w:space="0" w:color="auto"/>
        <w:bottom w:val="none" w:sz="0" w:space="0" w:color="auto"/>
        <w:right w:val="none" w:sz="0" w:space="0" w:color="auto"/>
      </w:divBdr>
    </w:div>
    <w:div w:id="1173060440">
      <w:bodyDiv w:val="1"/>
      <w:marLeft w:val="0"/>
      <w:marRight w:val="0"/>
      <w:marTop w:val="0"/>
      <w:marBottom w:val="0"/>
      <w:divBdr>
        <w:top w:val="none" w:sz="0" w:space="0" w:color="auto"/>
        <w:left w:val="none" w:sz="0" w:space="0" w:color="auto"/>
        <w:bottom w:val="none" w:sz="0" w:space="0" w:color="auto"/>
        <w:right w:val="none" w:sz="0" w:space="0" w:color="auto"/>
      </w:divBdr>
    </w:div>
    <w:div w:id="1210845418">
      <w:bodyDiv w:val="1"/>
      <w:marLeft w:val="0"/>
      <w:marRight w:val="0"/>
      <w:marTop w:val="0"/>
      <w:marBottom w:val="0"/>
      <w:divBdr>
        <w:top w:val="none" w:sz="0" w:space="0" w:color="auto"/>
        <w:left w:val="none" w:sz="0" w:space="0" w:color="auto"/>
        <w:bottom w:val="none" w:sz="0" w:space="0" w:color="auto"/>
        <w:right w:val="none" w:sz="0" w:space="0" w:color="auto"/>
      </w:divBdr>
    </w:div>
    <w:div w:id="1581283601">
      <w:bodyDiv w:val="1"/>
      <w:marLeft w:val="0"/>
      <w:marRight w:val="0"/>
      <w:marTop w:val="0"/>
      <w:marBottom w:val="0"/>
      <w:divBdr>
        <w:top w:val="none" w:sz="0" w:space="0" w:color="auto"/>
        <w:left w:val="none" w:sz="0" w:space="0" w:color="auto"/>
        <w:bottom w:val="none" w:sz="0" w:space="0" w:color="auto"/>
        <w:right w:val="none" w:sz="0" w:space="0" w:color="auto"/>
      </w:divBdr>
    </w:div>
    <w:div w:id="1809587397">
      <w:bodyDiv w:val="1"/>
      <w:marLeft w:val="0"/>
      <w:marRight w:val="0"/>
      <w:marTop w:val="0"/>
      <w:marBottom w:val="0"/>
      <w:divBdr>
        <w:top w:val="none" w:sz="0" w:space="0" w:color="auto"/>
        <w:left w:val="none" w:sz="0" w:space="0" w:color="auto"/>
        <w:bottom w:val="none" w:sz="0" w:space="0" w:color="auto"/>
        <w:right w:val="none" w:sz="0" w:space="0" w:color="auto"/>
      </w:divBdr>
    </w:div>
    <w:div w:id="1921061037">
      <w:bodyDiv w:val="1"/>
      <w:marLeft w:val="0"/>
      <w:marRight w:val="0"/>
      <w:marTop w:val="0"/>
      <w:marBottom w:val="0"/>
      <w:divBdr>
        <w:top w:val="none" w:sz="0" w:space="0" w:color="auto"/>
        <w:left w:val="none" w:sz="0" w:space="0" w:color="auto"/>
        <w:bottom w:val="none" w:sz="0" w:space="0" w:color="auto"/>
        <w:right w:val="none" w:sz="0" w:space="0" w:color="auto"/>
      </w:divBdr>
    </w:div>
    <w:div w:id="205515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thweb.leedsth.nhs.uk/sites/infection-control/sites/infection-control/hand-hygiene-2019/hand-hygiene-tool" TargetMode="External"/><Relationship Id="rId18" Type="http://schemas.openxmlformats.org/officeDocument/2006/relationships/package" Target="embeddings/Microsoft_Word_Document1.docx"/><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b/Policies/Documents/Mandatory%20Training%20Policy.doc"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hub/SitePages/Home.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6531</Words>
  <Characters>37228</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Braidford</dc:creator>
  <cp:keywords/>
  <dc:description/>
  <cp:lastModifiedBy>IDREES, Tahir (LEEDS TEACHING HOSPITALS NHS TRUST)</cp:lastModifiedBy>
  <cp:revision>2</cp:revision>
  <cp:lastPrinted>2025-04-09T07:08:00Z</cp:lastPrinted>
  <dcterms:created xsi:type="dcterms:W3CDTF">2026-01-20T10:53:00Z</dcterms:created>
  <dcterms:modified xsi:type="dcterms:W3CDTF">2026-01-20T10:53:00Z</dcterms:modified>
</cp:coreProperties>
</file>